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75440734"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FE008A">
        <w:rPr>
          <w:rFonts w:ascii="Arial" w:eastAsia="宋体" w:hAnsi="Arial" w:cs="Arial"/>
          <w:b/>
          <w:noProof/>
          <w:kern w:val="0"/>
          <w:sz w:val="24"/>
          <w:szCs w:val="20"/>
        </w:rPr>
        <w:t>9</w:t>
      </w:r>
      <w:r w:rsidR="00D96DF4">
        <w:rPr>
          <w:rFonts w:ascii="Arial" w:eastAsia="宋体" w:hAnsi="Arial" w:cs="Arial"/>
          <w:b/>
          <w:noProof/>
          <w:kern w:val="0"/>
          <w:sz w:val="24"/>
          <w:szCs w:val="20"/>
        </w:rPr>
        <w:t>bis</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220</w:t>
      </w:r>
      <w:r w:rsidR="00576915">
        <w:rPr>
          <w:rFonts w:ascii="Arial" w:eastAsia="宋体" w:hAnsi="Arial" w:cs="Arial"/>
          <w:b/>
          <w:noProof/>
          <w:kern w:val="0"/>
          <w:sz w:val="24"/>
          <w:szCs w:val="20"/>
        </w:rPr>
        <w:t>9953</w:t>
      </w:r>
    </w:p>
    <w:p w14:paraId="4BF14776" w14:textId="6C86AA66"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CC1A0C">
        <w:rPr>
          <w:rFonts w:ascii="Arial" w:eastAsia="宋体" w:hAnsi="Arial" w:cs="Arial"/>
          <w:b/>
          <w:sz w:val="24"/>
        </w:rPr>
        <w:t>1</w:t>
      </w:r>
      <w:r w:rsidR="00D96DF4">
        <w:rPr>
          <w:rFonts w:ascii="Arial" w:eastAsia="宋体" w:hAnsi="Arial" w:cs="Arial"/>
          <w:b/>
          <w:sz w:val="24"/>
        </w:rPr>
        <w:t>0</w:t>
      </w:r>
      <w:r w:rsidR="005039F0">
        <w:rPr>
          <w:rFonts w:ascii="Arial" w:eastAsia="宋体" w:hAnsi="Arial" w:cs="Arial"/>
          <w:b/>
          <w:sz w:val="24"/>
          <w:vertAlign w:val="superscript"/>
        </w:rPr>
        <w:t>th</w:t>
      </w:r>
      <w:r w:rsidRPr="005C2CC5">
        <w:rPr>
          <w:rFonts w:ascii="Arial" w:eastAsia="宋体" w:hAnsi="Arial" w:cs="Arial"/>
          <w:b/>
          <w:sz w:val="24"/>
        </w:rPr>
        <w:t>–</w:t>
      </w:r>
      <w:r w:rsidR="00817607">
        <w:rPr>
          <w:rFonts w:ascii="Arial" w:eastAsia="宋体" w:hAnsi="Arial" w:cs="Arial"/>
          <w:b/>
          <w:sz w:val="24"/>
        </w:rPr>
        <w:t xml:space="preserve"> </w:t>
      </w:r>
      <w:r w:rsidR="00D96DF4">
        <w:rPr>
          <w:rFonts w:ascii="Arial" w:eastAsia="宋体" w:hAnsi="Arial" w:cs="Arial"/>
          <w:b/>
          <w:sz w:val="24"/>
        </w:rPr>
        <w:t>1</w:t>
      </w:r>
      <w:r w:rsidR="005039F0">
        <w:rPr>
          <w:rFonts w:ascii="Arial" w:eastAsia="宋体" w:hAnsi="Arial" w:cs="Arial"/>
          <w:b/>
          <w:sz w:val="24"/>
        </w:rPr>
        <w:t>9</w:t>
      </w:r>
      <w:r w:rsidR="005039F0">
        <w:rPr>
          <w:rFonts w:ascii="Arial" w:eastAsia="宋体" w:hAnsi="Arial" w:cs="Arial"/>
          <w:b/>
          <w:sz w:val="24"/>
          <w:vertAlign w:val="superscript"/>
        </w:rPr>
        <w:t>th</w:t>
      </w:r>
      <w:r w:rsidR="007E0AA7">
        <w:rPr>
          <w:rFonts w:ascii="Arial" w:eastAsia="宋体" w:hAnsi="Arial" w:cs="Arial"/>
          <w:b/>
          <w:sz w:val="24"/>
          <w:vertAlign w:val="superscript"/>
        </w:rPr>
        <w:t xml:space="preserve"> </w:t>
      </w:r>
      <w:r w:rsidR="00D96DF4">
        <w:rPr>
          <w:rFonts w:ascii="Arial" w:eastAsia="宋体" w:hAnsi="Arial" w:cs="Arial"/>
          <w:b/>
          <w:sz w:val="24"/>
        </w:rPr>
        <w:t>October</w:t>
      </w:r>
      <w:r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12197974"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0488D9E6"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253AF0" w:rsidRPr="00253AF0">
        <w:rPr>
          <w:rFonts w:ascii="Arial" w:eastAsia="宋体" w:hAnsi="Arial" w:cs="Times New Roman"/>
          <w:b/>
          <w:bCs/>
          <w:kern w:val="0"/>
          <w:sz w:val="22"/>
          <w:szCs w:val="20"/>
          <w:lang w:val="en-GB"/>
        </w:rPr>
        <w:t>Mobility enhancements for mobile IAB-node and its served UE</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73BCEB24"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Define Procedures for migration/topology adaptation to enable IAB-node mobility, including inter-donor migration of the entire mobile IAB-node (full migration) [RAN3, RAN2]</w:t>
            </w:r>
          </w:p>
          <w:p w14:paraId="3195C568"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9C2EE09"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mobility of dual-connected IAB-nodes is down-prioritized.</w:t>
            </w:r>
          </w:p>
          <w:p w14:paraId="2632C582"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Enhancements for mobility of an IAB-node together with its served UEs, including aspects related to group mobility. No optimizations for the targeting of surrounding UEs. [RAN3, RAN2]</w:t>
            </w:r>
          </w:p>
          <w:p w14:paraId="04CFD7D5" w14:textId="77777777" w:rsidR="00712DD9" w:rsidRPr="00712DD9" w:rsidRDefault="00712DD9" w:rsidP="00712DD9">
            <w:pPr>
              <w:pStyle w:val="maintext"/>
              <w:spacing w:line="240" w:lineRule="auto"/>
              <w:ind w:left="720" w:firstLineChars="0" w:firstLine="0"/>
              <w:rPr>
                <w:rFonts w:eastAsia="Times New Roman" w:cs="Times New Roman"/>
                <w:i/>
                <w:iCs/>
                <w:lang w:eastAsia="en-US"/>
              </w:rPr>
            </w:pPr>
            <w:r w:rsidRPr="00712DD9">
              <w:rPr>
                <w:rFonts w:eastAsia="Times New Roman" w:cs="Times New Roman"/>
                <w:i/>
                <w:iCs/>
                <w:lang w:eastAsia="en-US"/>
              </w:rPr>
              <w:t>Note: Solutions should avoid touching upon topics where Rel-17 discussions already occurred and where the topic was excluded from Rel-17, except for enhancements that are specific to IAB-node mobility.</w:t>
            </w:r>
          </w:p>
          <w:p w14:paraId="1C6263D6" w14:textId="3497C46C" w:rsidR="00A61DF4" w:rsidRPr="00732338" w:rsidRDefault="00712DD9" w:rsidP="00712DD9">
            <w:pPr>
              <w:pStyle w:val="maintext"/>
              <w:numPr>
                <w:ilvl w:val="0"/>
                <w:numId w:val="16"/>
              </w:numPr>
              <w:spacing w:line="240" w:lineRule="auto"/>
              <w:ind w:firstLineChars="0"/>
              <w:rPr>
                <w:lang w:eastAsia="en-GB"/>
              </w:rPr>
            </w:pPr>
            <w:r w:rsidRPr="00712DD9">
              <w:rPr>
                <w:rFonts w:eastAsia="Times New Roman" w:cs="Times New Roman"/>
                <w:lang w:eastAsia="en-US"/>
              </w:rPr>
              <w:t>Mitigation of interference due to IAB-node mobility, including the avoidance of potential reference and control signal collisions (e.g. PCI, RACH). [RAN3, RAN2]</w:t>
            </w:r>
          </w:p>
        </w:tc>
      </w:tr>
    </w:tbl>
    <w:p w14:paraId="0B940363" w14:textId="28E6BAE8"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enhancement for mobile IAB-node mobility is discussed, including </w:t>
      </w:r>
      <w:r w:rsidRPr="006E5566">
        <w:rPr>
          <w:rFonts w:ascii="Times New Roman" w:eastAsia="宋体" w:hAnsi="Times New Roman" w:cs="Times New Roman"/>
          <w:kern w:val="0"/>
          <w:sz w:val="20"/>
          <w:szCs w:val="20"/>
        </w:rPr>
        <w:t>aspects related to group mobility</w:t>
      </w:r>
      <w:r>
        <w:rPr>
          <w:rFonts w:ascii="Times New Roman" w:eastAsia="宋体" w:hAnsi="Times New Roman" w:cs="Times New Roman"/>
          <w:kern w:val="0"/>
          <w:sz w:val="20"/>
          <w:szCs w:val="20"/>
        </w:rPr>
        <w:t xml:space="preserve"> with its served UE.</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89447D0" w14:textId="56089F3B" w:rsidR="0096468A" w:rsidRPr="0079429A" w:rsidRDefault="00D851CA" w:rsidP="0079429A">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Mobile attribute</w:t>
      </w:r>
      <w:r w:rsidR="00576785">
        <w:rPr>
          <w:rFonts w:ascii="Times New Roman" w:eastAsia="宋体" w:hAnsi="Times New Roman" w:cs="Times New Roman"/>
          <w:b/>
          <w:bCs/>
          <w:kern w:val="0"/>
          <w:sz w:val="22"/>
          <w:u w:val="single"/>
        </w:rPr>
        <w:t xml:space="preserve"> notification</w:t>
      </w:r>
      <w:r>
        <w:rPr>
          <w:rFonts w:ascii="Times New Roman" w:eastAsia="宋体" w:hAnsi="Times New Roman" w:cs="Times New Roman"/>
          <w:b/>
          <w:bCs/>
          <w:kern w:val="0"/>
          <w:sz w:val="22"/>
          <w:u w:val="single"/>
        </w:rPr>
        <w:t xml:space="preserve"> of</w:t>
      </w:r>
      <w:r w:rsidR="00576785">
        <w:rPr>
          <w:rFonts w:ascii="Times New Roman" w:eastAsia="宋体" w:hAnsi="Times New Roman" w:cs="Times New Roman"/>
          <w:b/>
          <w:bCs/>
          <w:kern w:val="0"/>
          <w:sz w:val="22"/>
          <w:u w:val="single"/>
        </w:rPr>
        <w:t xml:space="preserve"> mobile</w:t>
      </w:r>
      <w:r>
        <w:rPr>
          <w:rFonts w:ascii="Times New Roman" w:eastAsia="宋体" w:hAnsi="Times New Roman" w:cs="Times New Roman"/>
          <w:b/>
          <w:bCs/>
          <w:kern w:val="0"/>
          <w:sz w:val="22"/>
          <w:u w:val="single"/>
        </w:rPr>
        <w:t xml:space="preserve"> IAB-node</w:t>
      </w:r>
    </w:p>
    <w:tbl>
      <w:tblPr>
        <w:tblW w:w="969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047545" w14:paraId="30B335B2" w14:textId="77777777" w:rsidTr="007B0D5E">
        <w:trPr>
          <w:trHeight w:val="1906"/>
        </w:trPr>
        <w:tc>
          <w:tcPr>
            <w:tcW w:w="9690" w:type="dxa"/>
          </w:tcPr>
          <w:p w14:paraId="7E1E4831" w14:textId="77777777" w:rsidR="007B0D5E" w:rsidRDefault="007B0D5E" w:rsidP="00917590">
            <w:pPr>
              <w:pStyle w:val="Agreement"/>
              <w:tabs>
                <w:tab w:val="clear" w:pos="780"/>
                <w:tab w:val="num" w:pos="1619"/>
              </w:tabs>
              <w:ind w:leftChars="40" w:left="444"/>
            </w:pPr>
            <w:r>
              <w:t xml:space="preserve">The following Points are Endorsed, i.e. for the plan for next meeting (after one round of discussion at R2 119-e): </w:t>
            </w:r>
          </w:p>
          <w:p w14:paraId="6AC47EE0" w14:textId="77777777" w:rsidR="007B0D5E" w:rsidRDefault="007B0D5E" w:rsidP="00917590">
            <w:pPr>
              <w:pStyle w:val="Agreement"/>
              <w:numPr>
                <w:ilvl w:val="0"/>
                <w:numId w:val="0"/>
              </w:numPr>
              <w:ind w:leftChars="211" w:left="443"/>
            </w:pPr>
            <w:r>
              <w:t xml:space="preserve">P1: RAN2 to discuss scenarios, if and where enhancements to cell (re-)selection to/from the mobile IAB-node apply, e.g. based on mobile IAB-node broadcast parameter </w:t>
            </w:r>
            <w:r w:rsidRPr="00820F54">
              <w:t xml:space="preserve">(this </w:t>
            </w:r>
            <w:r>
              <w:t>point</w:t>
            </w:r>
            <w:r w:rsidRPr="00820F54">
              <w:t xml:space="preserve"> doesn’t preclude other potential usage of </w:t>
            </w:r>
            <w:proofErr w:type="spellStart"/>
            <w:r w:rsidRPr="00820F54">
              <w:t>Bcast</w:t>
            </w:r>
            <w:proofErr w:type="spellEnd"/>
            <w:r w:rsidRPr="00820F54">
              <w:t xml:space="preserve"> info)</w:t>
            </w:r>
            <w:r>
              <w:t>.</w:t>
            </w:r>
          </w:p>
          <w:p w14:paraId="680C089C" w14:textId="03397E41" w:rsidR="00047545" w:rsidRPr="007B0D5E" w:rsidRDefault="007B0D5E" w:rsidP="00917590">
            <w:pPr>
              <w:pStyle w:val="Agreement"/>
              <w:numPr>
                <w:ilvl w:val="0"/>
                <w:numId w:val="0"/>
              </w:numPr>
              <w:ind w:leftChars="211" w:left="443"/>
            </w:pPr>
            <w:r>
              <w:t>P2: Can discuss whether The mobile IAB-MT need to send a mobile-IAB indication (capability or mobility) to the IAB-donor-CU,</w:t>
            </w:r>
          </w:p>
        </w:tc>
      </w:tr>
    </w:tbl>
    <w:p w14:paraId="121CB871" w14:textId="269057B9" w:rsidR="007B0D5E" w:rsidRDefault="007B0D5E" w:rsidP="007B0D5E">
      <w:pPr>
        <w:widowControl/>
        <w:overflowPunct w:val="0"/>
        <w:autoSpaceDE w:val="0"/>
        <w:autoSpaceDN w:val="0"/>
        <w:adjustRightInd w:val="0"/>
        <w:spacing w:beforeLines="50" w:before="120" w:after="120"/>
        <w:textAlignment w:val="baseline"/>
        <w:rPr>
          <w:rFonts w:ascii="Times New Roman" w:hAnsi="Times New Roman" w:cs="Times New Roman"/>
          <w:szCs w:val="21"/>
          <w:lang w:val="en-GB"/>
        </w:rPr>
      </w:pPr>
      <w:r>
        <w:rPr>
          <w:rFonts w:ascii="Times New Roman" w:eastAsia="宋体" w:hAnsi="Times New Roman" w:cs="Times New Roman"/>
          <w:kern w:val="0"/>
          <w:sz w:val="20"/>
          <w:szCs w:val="20"/>
        </w:rPr>
        <w:t>Mobile IAB-node is different from stationary IAB-node in many aspects. For the topology, mobile IAB-node can only serve for UEs and doesn’t have any descendant IAB-nodes. And mobile IAB-node is to support inter-donor full migration while the stationary IAB-node can only support partial migration in Rel-18. In addition, the mobile IAB-node may have two logical IAB-DUs to support full migration which is also not supported by the stationary IAB-node.</w:t>
      </w:r>
      <w:r w:rsidRPr="00B173B2">
        <w:rPr>
          <w:rFonts w:ascii="Times New Roman" w:hAnsi="Times New Roman" w:cs="Times New Roman"/>
          <w:szCs w:val="21"/>
          <w:lang w:val="en-GB"/>
        </w:rPr>
        <w:t xml:space="preserve"> </w:t>
      </w:r>
      <w:r>
        <w:rPr>
          <w:rFonts w:ascii="Times New Roman" w:hAnsi="Times New Roman" w:cs="Times New Roman"/>
          <w:szCs w:val="21"/>
          <w:lang w:val="en-GB"/>
        </w:rPr>
        <w:t>It is essential for IAB-donor-CU to be aware of the mobile attribute of the mobile IAB-node so that it can make smart UE handover and IAB-node topology adaptation.</w:t>
      </w:r>
    </w:p>
    <w:p w14:paraId="72DC80BE" w14:textId="1FF85844" w:rsidR="007B0D5E" w:rsidRDefault="007B0D5E" w:rsidP="007B0D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hAnsi="Times New Roman" w:cs="Times New Roman" w:hint="eastAsia"/>
          <w:szCs w:val="21"/>
          <w:lang w:val="en-GB"/>
        </w:rPr>
        <w:t>B</w:t>
      </w:r>
      <w:r>
        <w:rPr>
          <w:rFonts w:ascii="Times New Roman" w:hAnsi="Times New Roman" w:cs="Times New Roman"/>
          <w:szCs w:val="21"/>
          <w:lang w:val="en-GB"/>
        </w:rPr>
        <w:t xml:space="preserve">ased on the </w:t>
      </w:r>
      <w:r>
        <w:rPr>
          <w:rFonts w:ascii="Times New Roman" w:eastAsia="宋体" w:hAnsi="Times New Roman" w:cs="Times New Roman"/>
          <w:kern w:val="0"/>
          <w:sz w:val="20"/>
          <w:szCs w:val="20"/>
        </w:rPr>
        <w:t xml:space="preserve">agreement below in </w:t>
      </w:r>
      <w:r w:rsidR="00A212E3">
        <w:rPr>
          <w:rFonts w:ascii="Times New Roman" w:eastAsia="宋体" w:hAnsi="Times New Roman" w:cs="Times New Roman"/>
          <w:kern w:val="0"/>
          <w:sz w:val="20"/>
          <w:szCs w:val="20"/>
        </w:rPr>
        <w:t xml:space="preserve">RAN3 117-e </w:t>
      </w:r>
      <w:r>
        <w:rPr>
          <w:rFonts w:ascii="Times New Roman" w:eastAsia="宋体" w:hAnsi="Times New Roman" w:cs="Times New Roman"/>
          <w:kern w:val="0"/>
          <w:sz w:val="20"/>
          <w:szCs w:val="20"/>
        </w:rPr>
        <w:t>meeting [2].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7B0D5E" w14:paraId="19F3C0DF" w14:textId="77777777" w:rsidTr="00421130">
        <w:trPr>
          <w:trHeight w:val="280"/>
        </w:trPr>
        <w:tc>
          <w:tcPr>
            <w:tcW w:w="9620" w:type="dxa"/>
          </w:tcPr>
          <w:p w14:paraId="1043F3FC" w14:textId="77777777" w:rsidR="007B0D5E" w:rsidRPr="004623EC" w:rsidRDefault="007B0D5E" w:rsidP="00421130">
            <w:pPr>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donor CU should know that the IAB node is “mobile”. </w:t>
            </w:r>
          </w:p>
        </w:tc>
      </w:tr>
    </w:tbl>
    <w:p w14:paraId="373AF8F0" w14:textId="77777777" w:rsidR="007B0D5E" w:rsidRDefault="007B0D5E" w:rsidP="007B0D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And in R16 for the stationary IAB-node, in </w:t>
      </w:r>
      <w:r w:rsidRPr="00F0569A">
        <w:rPr>
          <w:rFonts w:ascii="Times New Roman" w:eastAsia="宋体" w:hAnsi="Times New Roman" w:cs="Times New Roman"/>
          <w:kern w:val="0"/>
          <w:sz w:val="20"/>
          <w:szCs w:val="20"/>
        </w:rPr>
        <w:t xml:space="preserve">IAB-node </w:t>
      </w:r>
      <w:r>
        <w:rPr>
          <w:rFonts w:ascii="Times New Roman" w:eastAsia="宋体" w:hAnsi="Times New Roman" w:cs="Times New Roman"/>
          <w:kern w:val="0"/>
          <w:sz w:val="20"/>
          <w:szCs w:val="20"/>
        </w:rPr>
        <w:t>i</w:t>
      </w:r>
      <w:r w:rsidRPr="00F0569A">
        <w:rPr>
          <w:rFonts w:ascii="Times New Roman" w:eastAsia="宋体" w:hAnsi="Times New Roman" w:cs="Times New Roman"/>
          <w:kern w:val="0"/>
          <w:sz w:val="20"/>
          <w:szCs w:val="20"/>
        </w:rPr>
        <w:t xml:space="preserve">ntegration </w:t>
      </w:r>
      <w:r>
        <w:rPr>
          <w:rFonts w:ascii="Times New Roman" w:eastAsia="宋体" w:hAnsi="Times New Roman" w:cs="Times New Roman"/>
          <w:kern w:val="0"/>
          <w:sz w:val="20"/>
          <w:szCs w:val="20"/>
        </w:rPr>
        <w:t>p</w:t>
      </w:r>
      <w:r w:rsidRPr="00F0569A">
        <w:rPr>
          <w:rFonts w:ascii="Times New Roman" w:eastAsia="宋体" w:hAnsi="Times New Roman" w:cs="Times New Roman"/>
          <w:kern w:val="0"/>
          <w:sz w:val="20"/>
          <w:szCs w:val="20"/>
        </w:rPr>
        <w:t>rocedure</w:t>
      </w:r>
      <w:r>
        <w:rPr>
          <w:rFonts w:ascii="Times New Roman" w:eastAsia="宋体" w:hAnsi="Times New Roman" w:cs="Times New Roman"/>
          <w:kern w:val="0"/>
          <w:sz w:val="20"/>
          <w:szCs w:val="20"/>
        </w:rPr>
        <w:t>,</w:t>
      </w:r>
      <w:r w:rsidRPr="00F0569A">
        <w:rPr>
          <w:rFonts w:ascii="Times New Roman" w:eastAsia="宋体" w:hAnsi="Times New Roman" w:cs="Times New Roman"/>
          <w:kern w:val="0"/>
          <w:sz w:val="20"/>
          <w:szCs w:val="20"/>
        </w:rPr>
        <w:t xml:space="preserve"> the IAB-MT includes the IAB-node indication in </w:t>
      </w:r>
      <w:proofErr w:type="spellStart"/>
      <w:r w:rsidRPr="00F0569A">
        <w:rPr>
          <w:rFonts w:ascii="Times New Roman" w:eastAsia="宋体" w:hAnsi="Times New Roman" w:cs="Times New Roman"/>
          <w:i/>
          <w:iCs/>
          <w:kern w:val="0"/>
          <w:sz w:val="20"/>
          <w:szCs w:val="20"/>
        </w:rPr>
        <w:t>RRCSetupComplete</w:t>
      </w:r>
      <w:proofErr w:type="spellEnd"/>
      <w:r w:rsidRPr="00F0569A">
        <w:rPr>
          <w:rFonts w:ascii="Times New Roman" w:eastAsia="宋体" w:hAnsi="Times New Roman" w:cs="Times New Roman"/>
          <w:kern w:val="0"/>
          <w:sz w:val="20"/>
          <w:szCs w:val="20"/>
        </w:rPr>
        <w:t xml:space="preserve"> message</w:t>
      </w:r>
      <w:r>
        <w:rPr>
          <w:rFonts w:ascii="Times New Roman" w:eastAsia="宋体" w:hAnsi="Times New Roman" w:cs="Times New Roman"/>
          <w:kern w:val="0"/>
          <w:sz w:val="20"/>
          <w:szCs w:val="20"/>
        </w:rPr>
        <w:t xml:space="preserve"> t</w:t>
      </w:r>
      <w:r w:rsidRPr="00F0569A">
        <w:rPr>
          <w:rFonts w:ascii="Times New Roman" w:eastAsia="宋体" w:hAnsi="Times New Roman" w:cs="Times New Roman"/>
          <w:kern w:val="0"/>
          <w:sz w:val="20"/>
          <w:szCs w:val="20"/>
        </w:rPr>
        <w:t>o indicate its IAB capability</w:t>
      </w:r>
      <w:r>
        <w:rPr>
          <w:rFonts w:ascii="Times New Roman" w:eastAsia="宋体" w:hAnsi="Times New Roman" w:cs="Times New Roman"/>
          <w:kern w:val="0"/>
          <w:sz w:val="20"/>
          <w:szCs w:val="20"/>
        </w:rPr>
        <w:t xml:space="preserve"> and</w:t>
      </w:r>
      <w:r w:rsidRPr="00F0569A">
        <w:rPr>
          <w:rFonts w:ascii="Times New Roman" w:eastAsia="宋体" w:hAnsi="Times New Roman" w:cs="Times New Roman"/>
          <w:kern w:val="0"/>
          <w:sz w:val="20"/>
          <w:szCs w:val="20"/>
        </w:rPr>
        <w:t xml:space="preserve"> to assist the IAB-donor to select an AMF supporting IAB.</w:t>
      </w:r>
      <w:r>
        <w:rPr>
          <w:rFonts w:ascii="Times New Roman" w:eastAsia="宋体" w:hAnsi="Times New Roman" w:cs="Times New Roman"/>
          <w:kern w:val="0"/>
          <w:sz w:val="20"/>
          <w:szCs w:val="20"/>
        </w:rPr>
        <w:t xml:space="preserve"> This can be also applied to the mobile IAB-node.</w:t>
      </w:r>
    </w:p>
    <w:p w14:paraId="6C6CE56D" w14:textId="77777777" w:rsidR="007B0D5E" w:rsidRDefault="007B0D5E" w:rsidP="007B0D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Mobile IAB-MT includes the mobile att</w:t>
      </w:r>
      <w:r>
        <w:rPr>
          <w:rFonts w:ascii="Times New Roman" w:eastAsia="宋体" w:hAnsi="Times New Roman" w:cs="Times New Roman"/>
          <w:b/>
          <w:bCs/>
          <w:kern w:val="0"/>
          <w:sz w:val="20"/>
          <w:szCs w:val="20"/>
        </w:rPr>
        <w:t>r</w:t>
      </w:r>
      <w:r w:rsidRPr="00B173B2">
        <w:rPr>
          <w:rFonts w:ascii="Times New Roman" w:eastAsia="宋体" w:hAnsi="Times New Roman" w:cs="Times New Roman"/>
          <w:b/>
          <w:bCs/>
          <w:kern w:val="0"/>
          <w:sz w:val="20"/>
          <w:szCs w:val="20"/>
        </w:rPr>
        <w:t xml:space="preserve">ibute in </w:t>
      </w:r>
      <w:proofErr w:type="spellStart"/>
      <w:r w:rsidRPr="00B173B2">
        <w:rPr>
          <w:rFonts w:ascii="Times New Roman" w:eastAsia="宋体" w:hAnsi="Times New Roman" w:cs="Times New Roman"/>
          <w:b/>
          <w:bCs/>
          <w:kern w:val="0"/>
          <w:sz w:val="20"/>
          <w:szCs w:val="20"/>
        </w:rPr>
        <w:t>RRCSetupComplete</w:t>
      </w:r>
      <w:proofErr w:type="spellEnd"/>
      <w:r w:rsidRPr="00B173B2">
        <w:rPr>
          <w:rFonts w:ascii="Times New Roman" w:eastAsia="宋体" w:hAnsi="Times New Roman" w:cs="Times New Roman"/>
          <w:b/>
          <w:bCs/>
          <w:kern w:val="0"/>
          <w:sz w:val="20"/>
          <w:szCs w:val="20"/>
        </w:rPr>
        <w:t xml:space="preserve"> message</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to IAB-donor-CU.</w:t>
      </w:r>
    </w:p>
    <w:p w14:paraId="28AA896D" w14:textId="77777777" w:rsidR="007B0D5E" w:rsidRDefault="007B0D5E" w:rsidP="007B0D5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sidRPr="00BC2F24">
        <w:rPr>
          <w:rFonts w:ascii="Times New Roman" w:eastAsia="宋体" w:hAnsi="Times New Roman" w:cs="Times New Roman"/>
          <w:kern w:val="0"/>
          <w:sz w:val="20"/>
          <w:szCs w:val="20"/>
        </w:rPr>
        <w:t>imilarly</w:t>
      </w:r>
      <w:r>
        <w:rPr>
          <w:rFonts w:ascii="Times New Roman" w:eastAsia="宋体" w:hAnsi="Times New Roman" w:cs="Times New Roman"/>
          <w:kern w:val="0"/>
          <w:sz w:val="20"/>
          <w:szCs w:val="20"/>
        </w:rPr>
        <w:t>, during the inter-donor migration for mobile IAB-node, m</w:t>
      </w:r>
      <w:r w:rsidRPr="00BC2F24">
        <w:rPr>
          <w:rFonts w:ascii="Times New Roman" w:eastAsia="宋体" w:hAnsi="Times New Roman" w:cs="Times New Roman"/>
          <w:kern w:val="0"/>
          <w:sz w:val="20"/>
          <w:szCs w:val="20"/>
        </w:rPr>
        <w:t xml:space="preserve">obile attribute of mobile IAB-node needs to be exchanged between source IAB-donor and target IAB-donor </w:t>
      </w:r>
      <w:r>
        <w:rPr>
          <w:rFonts w:ascii="Times New Roman" w:eastAsia="宋体" w:hAnsi="Times New Roman" w:cs="Times New Roman"/>
          <w:kern w:val="0"/>
          <w:sz w:val="20"/>
          <w:szCs w:val="20"/>
        </w:rPr>
        <w:t>via</w:t>
      </w:r>
      <w:r w:rsidRPr="00BC2F24">
        <w:rPr>
          <w:rFonts w:ascii="Times New Roman" w:eastAsia="宋体" w:hAnsi="Times New Roman" w:cs="Times New Roman"/>
          <w:kern w:val="0"/>
          <w:sz w:val="20"/>
          <w:szCs w:val="20"/>
        </w:rPr>
        <w:t xml:space="preserve"> </w:t>
      </w:r>
      <w:proofErr w:type="spellStart"/>
      <w:r w:rsidRPr="00BC2F24">
        <w:rPr>
          <w:rFonts w:ascii="Times New Roman" w:eastAsia="宋体" w:hAnsi="Times New Roman" w:cs="Times New Roman"/>
          <w:kern w:val="0"/>
          <w:sz w:val="20"/>
          <w:szCs w:val="20"/>
        </w:rPr>
        <w:t>XnAP</w:t>
      </w:r>
      <w:proofErr w:type="spellEnd"/>
      <w:r>
        <w:rPr>
          <w:rFonts w:ascii="Times New Roman" w:eastAsia="宋体" w:hAnsi="Times New Roman" w:cs="Times New Roman"/>
          <w:kern w:val="0"/>
          <w:sz w:val="20"/>
          <w:szCs w:val="20"/>
        </w:rPr>
        <w:t xml:space="preserve"> or NGAP.</w:t>
      </w:r>
    </w:p>
    <w:p w14:paraId="3166D3C5" w14:textId="77777777" w:rsidR="007B0D5E" w:rsidRPr="00BC2F24" w:rsidRDefault="007B0D5E" w:rsidP="007B0D5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xml:space="preserve">: </w:t>
      </w:r>
      <w:bookmarkStart w:id="2" w:name="_Hlk110428868"/>
      <w:r w:rsidRPr="00BC2F24">
        <w:rPr>
          <w:rFonts w:ascii="Times New Roman" w:eastAsia="宋体" w:hAnsi="Times New Roman" w:cs="Times New Roman"/>
          <w:b/>
          <w:bCs/>
          <w:kern w:val="0"/>
          <w:sz w:val="20"/>
          <w:szCs w:val="20"/>
        </w:rPr>
        <w:t>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w:t>
      </w:r>
      <w:proofErr w:type="spellStart"/>
      <w:r w:rsidRPr="00BC2F24">
        <w:rPr>
          <w:rFonts w:ascii="Times New Roman" w:eastAsia="宋体" w:hAnsi="Times New Roman" w:cs="Times New Roman"/>
          <w:b/>
          <w:bCs/>
          <w:kern w:val="0"/>
          <w:sz w:val="20"/>
          <w:szCs w:val="20"/>
        </w:rPr>
        <w:t>XnAP</w:t>
      </w:r>
      <w:proofErr w:type="spellEnd"/>
      <w:r>
        <w:rPr>
          <w:rFonts w:ascii="Times New Roman" w:eastAsia="宋体" w:hAnsi="Times New Roman" w:cs="Times New Roman"/>
          <w:b/>
          <w:bCs/>
          <w:kern w:val="0"/>
          <w:sz w:val="20"/>
          <w:szCs w:val="20"/>
        </w:rPr>
        <w:t xml:space="preserve"> or NGAP</w:t>
      </w:r>
      <w:r w:rsidRPr="00BC2F24">
        <w:rPr>
          <w:rFonts w:ascii="Times New Roman" w:eastAsia="宋体" w:hAnsi="Times New Roman" w:cs="Times New Roman"/>
          <w:b/>
          <w:bCs/>
          <w:kern w:val="0"/>
          <w:sz w:val="20"/>
          <w:szCs w:val="20"/>
        </w:rPr>
        <w:t xml:space="preserve"> during inter-donor migration procedure</w:t>
      </w:r>
      <w:bookmarkEnd w:id="2"/>
      <w:r w:rsidRPr="00BC2F24">
        <w:rPr>
          <w:rFonts w:ascii="Times New Roman" w:eastAsia="宋体" w:hAnsi="Times New Roman" w:cs="Times New Roman"/>
          <w:b/>
          <w:bCs/>
          <w:kern w:val="0"/>
          <w:sz w:val="20"/>
          <w:szCs w:val="20"/>
        </w:rPr>
        <w:t>.</w:t>
      </w:r>
    </w:p>
    <w:p w14:paraId="680DF8B3" w14:textId="77777777" w:rsidR="001A4DB9" w:rsidRDefault="001A4DB9" w:rsidP="001A4DB9">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the case of mobile IAB-node, the UEs can be classified into onboard UEs and surrounding UEs. For the onboard UEs, it’s better to camp on the cells of mobile IAB-nodes so that the onboard UEs can perform handover accompany with the serving mobile IAB-node. And cells of stationary IAB-node or cells of IAB-donor is prioritized than cells of mobile IAB-node for the surrounding UEs to access. Therefore, stationary IAB-node and</w:t>
      </w:r>
      <w:r w:rsidRPr="00937E2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mobile IAB-node needs to be distinguished from the UE point of view. And the mobile </w:t>
      </w:r>
      <w:r w:rsidRPr="004A5C45">
        <w:rPr>
          <w:rFonts w:ascii="Times New Roman" w:eastAsia="宋体" w:hAnsi="Times New Roman" w:cs="Times New Roman"/>
          <w:kern w:val="0"/>
          <w:sz w:val="20"/>
          <w:szCs w:val="20"/>
        </w:rPr>
        <w:t>attribute of mobile IAB</w:t>
      </w:r>
      <w:r>
        <w:rPr>
          <w:rFonts w:ascii="Times New Roman" w:eastAsia="宋体" w:hAnsi="Times New Roman" w:cs="Times New Roman"/>
          <w:kern w:val="0"/>
          <w:sz w:val="20"/>
          <w:szCs w:val="20"/>
        </w:rPr>
        <w:t>-</w:t>
      </w:r>
      <w:r w:rsidRPr="004A5C45">
        <w:rPr>
          <w:rFonts w:ascii="Times New Roman" w:eastAsia="宋体" w:hAnsi="Times New Roman" w:cs="Times New Roman"/>
          <w:kern w:val="0"/>
          <w:sz w:val="20"/>
          <w:szCs w:val="20"/>
        </w:rPr>
        <w:t>node needs to be broadcast to UEs</w:t>
      </w:r>
      <w:r>
        <w:rPr>
          <w:rFonts w:ascii="Times New Roman" w:eastAsia="宋体" w:hAnsi="Times New Roman" w:cs="Times New Roman"/>
          <w:kern w:val="0"/>
          <w:sz w:val="20"/>
          <w:szCs w:val="20"/>
        </w:rPr>
        <w:t xml:space="preserve"> in </w:t>
      </w:r>
      <w:r w:rsidRPr="004A5C45">
        <w:rPr>
          <w:rFonts w:ascii="Times New Roman" w:eastAsia="宋体" w:hAnsi="Times New Roman" w:cs="Times New Roman"/>
          <w:kern w:val="0"/>
          <w:sz w:val="20"/>
          <w:szCs w:val="20"/>
        </w:rPr>
        <w:t>broadcast information, e.g., SIB1</w:t>
      </w:r>
      <w:r>
        <w:rPr>
          <w:rFonts w:ascii="Times New Roman" w:eastAsia="宋体" w:hAnsi="Times New Roman" w:cs="Times New Roman"/>
          <w:kern w:val="0"/>
          <w:sz w:val="20"/>
          <w:szCs w:val="20"/>
        </w:rPr>
        <w:t>.</w:t>
      </w:r>
    </w:p>
    <w:p w14:paraId="7B0AEC80" w14:textId="77777777" w:rsidR="001A4DB9" w:rsidRPr="00E46C2A" w:rsidRDefault="001A4DB9" w:rsidP="001A4DB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node broadcast</w:t>
      </w:r>
      <w:r>
        <w:rPr>
          <w:rFonts w:ascii="Times New Roman" w:eastAsia="宋体" w:hAnsi="Times New Roman" w:cs="Times New Roman"/>
          <w:b/>
          <w:bCs/>
          <w:kern w:val="0"/>
          <w:sz w:val="20"/>
          <w:szCs w:val="20"/>
        </w:rPr>
        <w:t>s</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its m</w:t>
      </w:r>
      <w:r w:rsidRPr="00A72210">
        <w:rPr>
          <w:rFonts w:ascii="Times New Roman" w:eastAsia="宋体" w:hAnsi="Times New Roman" w:cs="Times New Roman"/>
          <w:b/>
          <w:bCs/>
          <w:kern w:val="0"/>
          <w:sz w:val="20"/>
          <w:szCs w:val="20"/>
        </w:rPr>
        <w:t>obile attribute to UEs</w:t>
      </w:r>
      <w:r>
        <w:rPr>
          <w:rFonts w:ascii="Times New Roman" w:eastAsia="宋体" w:hAnsi="Times New Roman" w:cs="Times New Roman"/>
          <w:b/>
          <w:bCs/>
          <w:kern w:val="0"/>
          <w:sz w:val="20"/>
          <w:szCs w:val="20"/>
        </w:rPr>
        <w:t xml:space="preserve">, </w:t>
      </w:r>
      <w:bookmarkStart w:id="3" w:name="_Hlk110845691"/>
      <w:r>
        <w:rPr>
          <w:rFonts w:ascii="Times New Roman" w:eastAsia="宋体" w:hAnsi="Times New Roman" w:cs="Times New Roman"/>
          <w:b/>
          <w:bCs/>
          <w:kern w:val="0"/>
          <w:sz w:val="20"/>
          <w:szCs w:val="20"/>
        </w:rPr>
        <w:t>e.g., via SIB1</w:t>
      </w:r>
      <w:bookmarkEnd w:id="3"/>
      <w:r>
        <w:rPr>
          <w:rFonts w:ascii="Times New Roman" w:eastAsia="宋体" w:hAnsi="Times New Roman" w:cs="Times New Roman"/>
          <w:b/>
          <w:bCs/>
          <w:kern w:val="0"/>
          <w:sz w:val="20"/>
          <w:szCs w:val="20"/>
        </w:rPr>
        <w:t>.</w:t>
      </w:r>
    </w:p>
    <w:p w14:paraId="5F669A92" w14:textId="77777777" w:rsidR="009762FC" w:rsidRPr="00592A23" w:rsidRDefault="009762FC" w:rsidP="009762FC">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Differentiation between onboard UEs and surrounding UEs</w:t>
      </w:r>
    </w:p>
    <w:p w14:paraId="7E44B917" w14:textId="77777777" w:rsidR="009762FC" w:rsidRDefault="009762FC" w:rsidP="009762F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inter-donor full migration due to mobility of the mobile IAB-node, 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2D7D9055" w14:textId="77777777" w:rsidR="009762FC" w:rsidRPr="001A1855" w:rsidRDefault="009762FC" w:rsidP="009762F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xml:space="preserve">, which means all enhancements related to group mobility are only considered for the onboard UEs. And based on the following conclusions in RAN3 117-e meeting [2] and RAN2 119-e meeting [3]. RACH-less handover may be only considered for on-board UEs rather than surrounding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IAB-donor.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0"/>
      </w:tblGrid>
      <w:tr w:rsidR="009762FC" w14:paraId="20904700" w14:textId="77777777" w:rsidTr="00421130">
        <w:trPr>
          <w:trHeight w:val="420"/>
        </w:trPr>
        <w:tc>
          <w:tcPr>
            <w:tcW w:w="9600" w:type="dxa"/>
          </w:tcPr>
          <w:p w14:paraId="4516D2C9" w14:textId="77777777" w:rsidR="009762FC" w:rsidRPr="001A1855" w:rsidRDefault="009762FC" w:rsidP="00421130">
            <w:pPr>
              <w:pStyle w:val="Agreement"/>
              <w:numPr>
                <w:ilvl w:val="0"/>
                <w:numId w:val="0"/>
              </w:numPr>
              <w:ind w:left="359" w:hanging="359"/>
              <w:rPr>
                <w:rFonts w:ascii="Times New Roman" w:eastAsia="宋体" w:hAnsi="Times New Roman"/>
                <w:b w:val="0"/>
                <w:szCs w:val="20"/>
                <w:lang w:val="en-US" w:eastAsia="zh-CN"/>
              </w:rPr>
            </w:pPr>
            <w:r w:rsidRPr="001A1855">
              <w:rPr>
                <w:rFonts w:ascii="Times New Roman" w:eastAsia="宋体" w:hAnsi="Times New Roman" w:hint="eastAsia"/>
                <w:b w:val="0"/>
                <w:szCs w:val="20"/>
                <w:lang w:val="en-US" w:eastAsia="zh-CN"/>
              </w:rPr>
              <w:t>R</w:t>
            </w:r>
            <w:r w:rsidRPr="001A1855">
              <w:rPr>
                <w:rFonts w:ascii="Times New Roman" w:eastAsia="宋体" w:hAnsi="Times New Roman"/>
                <w:b w:val="0"/>
                <w:szCs w:val="20"/>
                <w:lang w:val="en-US" w:eastAsia="zh-CN"/>
              </w:rPr>
              <w:t>AN2 119-e:</w:t>
            </w:r>
          </w:p>
          <w:p w14:paraId="17A154EB" w14:textId="77777777" w:rsidR="009762FC" w:rsidRDefault="009762FC" w:rsidP="00977DE7">
            <w:pPr>
              <w:pStyle w:val="Agreement"/>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343846E" w14:textId="77777777" w:rsidR="009762FC" w:rsidRPr="001A1855" w:rsidRDefault="009762FC" w:rsidP="00421130">
            <w:pPr>
              <w:pStyle w:val="Agreement"/>
              <w:numPr>
                <w:ilvl w:val="0"/>
                <w:numId w:val="0"/>
              </w:numPr>
              <w:ind w:left="359" w:hanging="359"/>
              <w:rPr>
                <w:rFonts w:ascii="Times New Roman" w:eastAsia="宋体" w:hAnsi="Times New Roman"/>
                <w:b w:val="0"/>
                <w:szCs w:val="20"/>
                <w:lang w:val="en-US" w:eastAsia="zh-CN"/>
              </w:rPr>
            </w:pPr>
            <w:r w:rsidRPr="001A1855">
              <w:rPr>
                <w:rFonts w:ascii="Times New Roman" w:eastAsia="宋体" w:hAnsi="Times New Roman" w:hint="eastAsia"/>
                <w:b w:val="0"/>
                <w:szCs w:val="20"/>
                <w:lang w:val="en-US" w:eastAsia="zh-CN"/>
              </w:rPr>
              <w:t>R</w:t>
            </w:r>
            <w:r w:rsidRPr="001A1855">
              <w:rPr>
                <w:rFonts w:ascii="Times New Roman" w:eastAsia="宋体" w:hAnsi="Times New Roman"/>
                <w:b w:val="0"/>
                <w:szCs w:val="20"/>
                <w:lang w:val="en-US" w:eastAsia="zh-CN"/>
              </w:rPr>
              <w:t>AN3 117-e:</w:t>
            </w:r>
          </w:p>
          <w:p w14:paraId="703C2741" w14:textId="77777777" w:rsidR="009762FC" w:rsidRDefault="009762FC" w:rsidP="00421130">
            <w:pPr>
              <w:ind w:left="144" w:hanging="144"/>
              <w:rPr>
                <w:rFonts w:ascii="Calibri" w:hAnsi="Calibri" w:cs="Calibri"/>
                <w:b/>
                <w:bCs/>
                <w:color w:val="FF0000"/>
                <w:sz w:val="18"/>
                <w:szCs w:val="18"/>
                <w:lang w:eastAsia="en-US"/>
              </w:rPr>
            </w:pPr>
            <w:r w:rsidRPr="00C16664">
              <w:rPr>
                <w:rFonts w:ascii="Calibri" w:hAnsi="Calibri" w:cs="Calibri"/>
                <w:b/>
                <w:bCs/>
                <w:color w:val="FF0000"/>
                <w:sz w:val="18"/>
                <w:szCs w:val="18"/>
                <w:lang w:eastAsia="en-US"/>
              </w:rPr>
              <w:t xml:space="preserve">The focus of the mobility procedures enhancements is “on-board” UEs. </w:t>
            </w:r>
          </w:p>
          <w:p w14:paraId="4EBAEAC3" w14:textId="77777777" w:rsidR="009762FC" w:rsidRPr="0034409C" w:rsidRDefault="009762FC" w:rsidP="00421130">
            <w:pPr>
              <w:ind w:left="144" w:hanging="144"/>
              <w:rPr>
                <w:rFonts w:ascii="Calibri" w:hAnsi="Calibri" w:cs="Calibri"/>
                <w:b/>
                <w:bCs/>
                <w:color w:val="0000FF"/>
                <w:sz w:val="18"/>
                <w:szCs w:val="18"/>
                <w:lang w:eastAsia="en-US"/>
              </w:rPr>
            </w:pPr>
            <w:r w:rsidRPr="0034409C">
              <w:rPr>
                <w:rFonts w:ascii="Calibri" w:hAnsi="Calibri" w:cs="Calibri"/>
                <w:b/>
                <w:bCs/>
                <w:color w:val="0000FF"/>
                <w:sz w:val="18"/>
                <w:szCs w:val="18"/>
                <w:lang w:eastAsia="en-US"/>
              </w:rPr>
              <w:t>It is FFS whether the network can identify on-board UEs or surrounding UEs</w:t>
            </w:r>
          </w:p>
          <w:p w14:paraId="73CD284F" w14:textId="77777777" w:rsidR="009762FC" w:rsidRPr="001A1855" w:rsidRDefault="009762FC" w:rsidP="00421130">
            <w:pPr>
              <w:ind w:left="144"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RAN3 to discuss whether to support means to identify onboard UEs.</w:t>
            </w:r>
          </w:p>
        </w:tc>
      </w:tr>
    </w:tbl>
    <w:p w14:paraId="1509AB1F" w14:textId="45542FAC" w:rsidR="001A4DB9" w:rsidRPr="00977DE7" w:rsidRDefault="009762FC"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88239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To d</w:t>
      </w:r>
      <w:r w:rsidRPr="00882390">
        <w:rPr>
          <w:rFonts w:ascii="Times New Roman" w:eastAsia="宋体" w:hAnsi="Times New Roman" w:cs="Times New Roman"/>
          <w:b/>
          <w:bCs/>
          <w:kern w:val="0"/>
          <w:sz w:val="20"/>
          <w:szCs w:val="20"/>
        </w:rPr>
        <w:t xml:space="preserve">ifferentiate onboard UEs and surrounding UEs </w:t>
      </w:r>
      <w:r w:rsidR="0045226C">
        <w:rPr>
          <w:rFonts w:ascii="Times New Roman" w:eastAsia="宋体" w:hAnsi="Times New Roman" w:cs="Times New Roman"/>
          <w:b/>
          <w:bCs/>
          <w:kern w:val="0"/>
          <w:sz w:val="20"/>
          <w:szCs w:val="20"/>
        </w:rPr>
        <w:t>of</w:t>
      </w:r>
      <w:r w:rsidRPr="00882390">
        <w:rPr>
          <w:rFonts w:ascii="Times New Roman" w:eastAsia="宋体" w:hAnsi="Times New Roman" w:cs="Times New Roman"/>
          <w:b/>
          <w:bCs/>
          <w:kern w:val="0"/>
          <w:sz w:val="20"/>
          <w:szCs w:val="20"/>
        </w:rPr>
        <w:t xml:space="preserve"> mobile IAB-node</w:t>
      </w:r>
      <w:r>
        <w:rPr>
          <w:rFonts w:ascii="Times New Roman" w:eastAsia="宋体" w:hAnsi="Times New Roman" w:cs="Times New Roman"/>
          <w:b/>
          <w:bCs/>
          <w:kern w:val="0"/>
          <w:sz w:val="20"/>
          <w:szCs w:val="20"/>
        </w:rPr>
        <w:t xml:space="preserve"> for IAB-donor</w:t>
      </w:r>
      <w:r w:rsidRPr="00882390">
        <w:rPr>
          <w:rFonts w:ascii="Times New Roman" w:eastAsia="宋体" w:hAnsi="Times New Roman" w:cs="Times New Roman"/>
          <w:b/>
          <w:bCs/>
          <w:kern w:val="0"/>
          <w:sz w:val="20"/>
          <w:szCs w:val="20"/>
        </w:rPr>
        <w:t>.</w:t>
      </w:r>
    </w:p>
    <w:p w14:paraId="0972002B" w14:textId="47EE920E" w:rsidR="00004B28" w:rsidRPr="00592A23" w:rsidRDefault="00576785" w:rsidP="00592A2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576785">
        <w:rPr>
          <w:rFonts w:ascii="Times New Roman" w:eastAsia="宋体" w:hAnsi="Times New Roman" w:cs="Times New Roman"/>
          <w:b/>
          <w:bCs/>
          <w:kern w:val="0"/>
          <w:sz w:val="22"/>
          <w:u w:val="single"/>
        </w:rPr>
        <w:t xml:space="preserve">obility of </w:t>
      </w:r>
      <w:r>
        <w:rPr>
          <w:rFonts w:ascii="Times New Roman" w:eastAsia="宋体" w:hAnsi="Times New Roman" w:cs="Times New Roman"/>
          <w:b/>
          <w:bCs/>
          <w:kern w:val="0"/>
          <w:sz w:val="22"/>
          <w:u w:val="single"/>
        </w:rPr>
        <w:t xml:space="preserve">mobile </w:t>
      </w:r>
      <w:r w:rsidRPr="00576785">
        <w:rPr>
          <w:rFonts w:ascii="Times New Roman" w:eastAsia="宋体" w:hAnsi="Times New Roman" w:cs="Times New Roman"/>
          <w:b/>
          <w:bCs/>
          <w:kern w:val="0"/>
          <w:sz w:val="22"/>
          <w:u w:val="single"/>
        </w:rPr>
        <w:t>IAB-node together with its served UEs</w:t>
      </w:r>
    </w:p>
    <w:p w14:paraId="428A68E3" w14:textId="599B5911" w:rsidR="00592A23" w:rsidRDefault="00502B78" w:rsidP="00592A23">
      <w:pPr>
        <w:widowControl/>
        <w:overflowPunct w:val="0"/>
        <w:autoSpaceDE w:val="0"/>
        <w:autoSpaceDN w:val="0"/>
        <w:adjustRightInd w:val="0"/>
        <w:spacing w:after="120"/>
        <w:jc w:val="center"/>
        <w:textAlignment w:val="baseline"/>
      </w:pPr>
      <w:r>
        <w:object w:dxaOrig="5301" w:dyaOrig="3931" w14:anchorId="0389D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8" o:title=""/>
          </v:shape>
          <o:OLEObject Type="Embed" ProgID="Visio.Drawing.15" ShapeID="_x0000_i1025" DrawAspect="Content" ObjectID="_1725977158" r:id="rId9"/>
        </w:object>
      </w:r>
    </w:p>
    <w:p w14:paraId="52E69D03" w14:textId="77777777" w:rsidR="00592A23" w:rsidRPr="005750E7" w:rsidRDefault="00592A23" w:rsidP="00592A23">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3ADEAE67" w14:textId="7EFA8644"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4" w:name="OLE_LINK9"/>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the IAB-MT of mobile IAB-node migrates from source IAB-donor1 to target IAB-donor2, and the mobile IAB-node has two logical IAB-DUs that IAB-DU1 terminate</w:t>
      </w:r>
      <w:r w:rsidR="00F11603">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IAB-donor-CU1 and IAB-DU2 terminate</w:t>
      </w:r>
      <w:r w:rsidR="00F11603">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IAB-donor-CU2. As for a served UE of the mobile IAB-node, it performs migration from IAB-DU1 to IAB-DU2.</w:t>
      </w:r>
    </w:p>
    <w:p w14:paraId="53ACC558" w14:textId="03A0FB65" w:rsidR="00E37BD6"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In legacy handover procedure,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triggers handover for each individual UE based on the measurement report and sends the Handover Request to target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with the information of target cell ID. And the target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performs admission control for the according UE. For the mobile IAB-node mobility scenario, a mass of UEs need to perform handover from source IAB-donor to target IAB-donor within a short time period. Bundling all the UE in a handover procedure has the advantage for the target IAB-donor to perform admission control for all handover UEs. And it’s beneficial for the target IAB-donor to configure the BH BAP configuration in the target path for all handover UEs rather than for each individual UE. Therefore, message for handover all onboard connected UEs can be bundled together in </w:t>
      </w:r>
      <w:proofErr w:type="spellStart"/>
      <w:r>
        <w:rPr>
          <w:rFonts w:ascii="Times New Roman" w:eastAsia="宋体" w:hAnsi="Times New Roman" w:cs="Times New Roman"/>
          <w:kern w:val="0"/>
          <w:sz w:val="20"/>
          <w:szCs w:val="20"/>
        </w:rPr>
        <w:t>XnAP</w:t>
      </w:r>
      <w:proofErr w:type="spellEnd"/>
      <w:r>
        <w:rPr>
          <w:rFonts w:ascii="Times New Roman" w:eastAsia="宋体" w:hAnsi="Times New Roman" w:cs="Times New Roman"/>
          <w:kern w:val="0"/>
          <w:sz w:val="20"/>
          <w:szCs w:val="20"/>
        </w:rPr>
        <w:t xml:space="preserve"> for group mobility to optimize the </w:t>
      </w:r>
      <w:r w:rsidRPr="00E37BD6">
        <w:rPr>
          <w:rFonts w:ascii="Times New Roman" w:eastAsia="宋体" w:hAnsi="Times New Roman" w:cs="Times New Roman"/>
          <w:kern w:val="0"/>
          <w:sz w:val="20"/>
          <w:szCs w:val="20"/>
        </w:rPr>
        <w:t>admission control and BH configuration for the target IAB-donor</w:t>
      </w:r>
      <w:r>
        <w:rPr>
          <w:rFonts w:ascii="Times New Roman" w:eastAsia="宋体" w:hAnsi="Times New Roman" w:cs="Times New Roman"/>
          <w:kern w:val="0"/>
          <w:sz w:val="20"/>
          <w:szCs w:val="20"/>
        </w:rPr>
        <w:t>. For example, a group-based Handover Request and Handover Request Acknowledge are used for all onboard connected UEs</w:t>
      </w:r>
      <w:r w:rsidR="000C19A3">
        <w:rPr>
          <w:rFonts w:ascii="Times New Roman" w:eastAsia="宋体" w:hAnsi="Times New Roman" w:cs="Times New Roman"/>
          <w:kern w:val="0"/>
          <w:sz w:val="20"/>
          <w:szCs w:val="20"/>
        </w:rPr>
        <w:t xml:space="preserve"> of mobile IAB-node</w:t>
      </w:r>
      <w:r>
        <w:rPr>
          <w:rFonts w:ascii="Times New Roman" w:eastAsia="宋体" w:hAnsi="Times New Roman" w:cs="Times New Roman"/>
          <w:kern w:val="0"/>
          <w:sz w:val="20"/>
          <w:szCs w:val="20"/>
        </w:rPr>
        <w:t>.</w:t>
      </w:r>
    </w:p>
    <w:p w14:paraId="1D51B69F" w14:textId="77777777" w:rsidR="00131641" w:rsidRDefault="00131641" w:rsidP="0013164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group-based</w:t>
      </w:r>
      <w:r w:rsidRPr="00E13436">
        <w:rPr>
          <w:rFonts w:ascii="Times New Roman" w:eastAsia="宋体" w:hAnsi="Times New Roman" w:cs="Times New Roman"/>
          <w:b/>
          <w:bCs/>
          <w:kern w:val="0"/>
          <w:sz w:val="20"/>
          <w:szCs w:val="20"/>
        </w:rPr>
        <w:t xml:space="preserve"> Handover Request and Handover Request Acknowledge are used for all </w:t>
      </w:r>
      <w:r w:rsidRPr="00CB6749">
        <w:rPr>
          <w:rFonts w:ascii="Times New Roman" w:eastAsia="宋体" w:hAnsi="Times New Roman" w:cs="Times New Roman"/>
          <w:b/>
          <w:bCs/>
          <w:kern w:val="0"/>
          <w:sz w:val="20"/>
          <w:szCs w:val="20"/>
        </w:rPr>
        <w:t xml:space="preserve">onboard connected </w:t>
      </w:r>
      <w:r w:rsidRPr="00E13436">
        <w:rPr>
          <w:rFonts w:ascii="Times New Roman" w:eastAsia="宋体" w:hAnsi="Times New Roman" w:cs="Times New Roman"/>
          <w:b/>
          <w:bCs/>
          <w:kern w:val="0"/>
          <w:sz w:val="20"/>
          <w:szCs w:val="20"/>
        </w:rPr>
        <w:t>UEs</w:t>
      </w:r>
      <w:r>
        <w:rPr>
          <w:rFonts w:ascii="Times New Roman" w:eastAsia="宋体" w:hAnsi="Times New Roman" w:cs="Times New Roman"/>
          <w:b/>
          <w:bCs/>
          <w:kern w:val="0"/>
          <w:sz w:val="20"/>
          <w:szCs w:val="20"/>
        </w:rPr>
        <w:t xml:space="preserve"> of mobile IAB-node</w:t>
      </w:r>
      <w:r w:rsidRPr="00E13436">
        <w:rPr>
          <w:rFonts w:ascii="Times New Roman" w:eastAsia="宋体" w:hAnsi="Times New Roman" w:cs="Times New Roman"/>
          <w:b/>
          <w:bCs/>
          <w:kern w:val="0"/>
          <w:sz w:val="20"/>
          <w:szCs w:val="20"/>
        </w:rPr>
        <w:t>.</w:t>
      </w:r>
    </w:p>
    <w:p w14:paraId="5497112A" w14:textId="749B83D5" w:rsidR="002428E4" w:rsidRPr="00D95016" w:rsidRDefault="00E37BD6"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 xml:space="preserve">oreover, </w:t>
      </w:r>
      <w:bookmarkEnd w:id="4"/>
      <w:r>
        <w:rPr>
          <w:rFonts w:ascii="Times New Roman" w:eastAsia="宋体" w:hAnsi="Times New Roman" w:cs="Times New Roman"/>
          <w:kern w:val="0"/>
          <w:sz w:val="20"/>
          <w:szCs w:val="20"/>
        </w:rPr>
        <w:t>a</w:t>
      </w:r>
      <w:r w:rsidR="006014DF" w:rsidRPr="00AA3CB7">
        <w:rPr>
          <w:rFonts w:ascii="Times New Roman" w:eastAsia="宋体" w:hAnsi="Times New Roman" w:cs="Times New Roman"/>
          <w:kern w:val="0"/>
          <w:sz w:val="20"/>
          <w:szCs w:val="20"/>
        </w:rPr>
        <w:t xml:space="preserve">s for the </w:t>
      </w:r>
      <w:r w:rsidR="006014DF">
        <w:rPr>
          <w:rFonts w:ascii="Times New Roman" w:eastAsia="宋体" w:hAnsi="Times New Roman" w:cs="Times New Roman"/>
          <w:kern w:val="0"/>
          <w:sz w:val="20"/>
          <w:szCs w:val="20"/>
        </w:rPr>
        <w:t xml:space="preserve">served </w:t>
      </w:r>
      <w:r w:rsidR="006014DF" w:rsidRPr="00AA3CB7">
        <w:rPr>
          <w:rFonts w:ascii="Times New Roman" w:eastAsia="宋体" w:hAnsi="Times New Roman" w:cs="Times New Roman"/>
          <w:kern w:val="0"/>
          <w:sz w:val="20"/>
          <w:szCs w:val="20"/>
        </w:rPr>
        <w:t>UEs of mobile IAB-node, since</w:t>
      </w:r>
      <w:r w:rsidR="006014DF">
        <w:rPr>
          <w:rFonts w:ascii="Times New Roman" w:eastAsia="宋体" w:hAnsi="Times New Roman" w:cs="Times New Roman"/>
          <w:kern w:val="0"/>
          <w:sz w:val="20"/>
          <w:szCs w:val="20"/>
        </w:rPr>
        <w:t xml:space="preserve"> IAB-DU1 and IAB-DU2 are co-located physically and</w:t>
      </w:r>
      <w:r w:rsidR="006014DF" w:rsidRPr="00AA3CB7">
        <w:rPr>
          <w:rFonts w:ascii="Times New Roman" w:eastAsia="宋体" w:hAnsi="Times New Roman" w:cs="Times New Roman"/>
          <w:kern w:val="0"/>
          <w:sz w:val="20"/>
          <w:szCs w:val="20"/>
        </w:rPr>
        <w:t xml:space="preserve"> the serving </w:t>
      </w:r>
      <w:r w:rsidR="006014DF">
        <w:rPr>
          <w:rFonts w:ascii="Times New Roman" w:eastAsia="宋体" w:hAnsi="Times New Roman" w:cs="Times New Roman"/>
          <w:kern w:val="0"/>
          <w:sz w:val="20"/>
          <w:szCs w:val="20"/>
        </w:rPr>
        <w:t xml:space="preserve">mobile </w:t>
      </w:r>
      <w:r w:rsidR="006014DF" w:rsidRPr="00AA3CB7">
        <w:rPr>
          <w:rFonts w:ascii="Times New Roman" w:eastAsia="宋体" w:hAnsi="Times New Roman" w:cs="Times New Roman"/>
          <w:kern w:val="0"/>
          <w:sz w:val="20"/>
          <w:szCs w:val="20"/>
        </w:rPr>
        <w:t>IAB-node doesn’t change</w:t>
      </w:r>
      <w:r w:rsidR="006014DF">
        <w:rPr>
          <w:rFonts w:ascii="Times New Roman" w:eastAsia="宋体" w:hAnsi="Times New Roman" w:cs="Times New Roman"/>
          <w:kern w:val="0"/>
          <w:sz w:val="20"/>
          <w:szCs w:val="20"/>
        </w:rPr>
        <w:t xml:space="preserve"> for UE</w:t>
      </w:r>
      <w:r w:rsidR="006014DF" w:rsidRPr="00AA3CB7">
        <w:rPr>
          <w:rFonts w:ascii="Times New Roman" w:eastAsia="宋体" w:hAnsi="Times New Roman" w:cs="Times New Roman"/>
          <w:kern w:val="0"/>
          <w:sz w:val="20"/>
          <w:szCs w:val="20"/>
        </w:rPr>
        <w:t xml:space="preserve"> during the whole </w:t>
      </w:r>
      <w:r w:rsidR="006014DF">
        <w:rPr>
          <w:rFonts w:ascii="Times New Roman" w:eastAsia="宋体" w:hAnsi="Times New Roman" w:cs="Times New Roman"/>
          <w:kern w:val="0"/>
          <w:sz w:val="20"/>
          <w:szCs w:val="20"/>
        </w:rPr>
        <w:t xml:space="preserve">full </w:t>
      </w:r>
      <w:r w:rsidR="006014DF" w:rsidRPr="00AA3CB7">
        <w:rPr>
          <w:rFonts w:ascii="Times New Roman" w:eastAsia="宋体" w:hAnsi="Times New Roman" w:cs="Times New Roman"/>
          <w:kern w:val="0"/>
          <w:sz w:val="20"/>
          <w:szCs w:val="20"/>
        </w:rPr>
        <w:t>migration procedure</w:t>
      </w:r>
      <w:r w:rsidR="006014DF">
        <w:rPr>
          <w:rFonts w:ascii="Times New Roman" w:eastAsia="宋体" w:hAnsi="Times New Roman" w:cs="Times New Roman"/>
          <w:kern w:val="0"/>
          <w:sz w:val="20"/>
          <w:szCs w:val="20"/>
        </w:rPr>
        <w:t xml:space="preserve">, which means the air interface between the UE and the mobile IAB-node may be maintained. </w:t>
      </w:r>
      <w:r>
        <w:rPr>
          <w:rFonts w:ascii="Times New Roman" w:eastAsia="宋体" w:hAnsi="Times New Roman" w:cs="Times New Roman"/>
          <w:kern w:val="0"/>
          <w:sz w:val="20"/>
          <w:szCs w:val="20"/>
        </w:rPr>
        <w:t xml:space="preserve">In this case, some lower layer configurations (RLC, MAC and PHY) can be reused before and after migration. </w:t>
      </w:r>
      <w:r w:rsidR="003E1D22">
        <w:rPr>
          <w:rFonts w:ascii="Times New Roman" w:eastAsia="宋体" w:hAnsi="Times New Roman" w:cs="Times New Roman"/>
          <w:kern w:val="0"/>
          <w:sz w:val="20"/>
          <w:szCs w:val="20"/>
        </w:rPr>
        <w:t>For IAB-DU2, it can reuse some the lower layer configurations of IAB-D</w:t>
      </w:r>
      <w:r w:rsidR="00616F03">
        <w:rPr>
          <w:rFonts w:ascii="Times New Roman" w:eastAsia="宋体" w:hAnsi="Times New Roman" w:cs="Times New Roman"/>
          <w:kern w:val="0"/>
          <w:sz w:val="20"/>
          <w:szCs w:val="20"/>
        </w:rPr>
        <w:t xml:space="preserve">U1, </w:t>
      </w:r>
      <w:r w:rsidR="003E1D22">
        <w:rPr>
          <w:rFonts w:ascii="Times New Roman" w:eastAsia="宋体" w:hAnsi="Times New Roman" w:cs="Times New Roman"/>
          <w:kern w:val="0"/>
          <w:sz w:val="20"/>
          <w:szCs w:val="20"/>
        </w:rPr>
        <w:t>and these configuration</w:t>
      </w:r>
      <w:r w:rsidR="00E51052">
        <w:rPr>
          <w:rFonts w:ascii="Times New Roman" w:eastAsia="宋体" w:hAnsi="Times New Roman" w:cs="Times New Roman"/>
          <w:kern w:val="0"/>
          <w:sz w:val="20"/>
          <w:szCs w:val="20"/>
        </w:rPr>
        <w:t>s</w:t>
      </w:r>
      <w:r w:rsidR="003E1D22">
        <w:rPr>
          <w:rFonts w:ascii="Times New Roman" w:eastAsia="宋体" w:hAnsi="Times New Roman" w:cs="Times New Roman"/>
          <w:kern w:val="0"/>
          <w:sz w:val="20"/>
          <w:szCs w:val="20"/>
        </w:rPr>
        <w:t xml:space="preserve"> can be informed from source IAB-donor1 to target IAB-donor2.</w:t>
      </w:r>
      <w:r w:rsidR="00E51052">
        <w:rPr>
          <w:rFonts w:ascii="Times New Roman" w:eastAsia="宋体" w:hAnsi="Times New Roman" w:cs="Times New Roman"/>
          <w:kern w:val="0"/>
          <w:sz w:val="20"/>
          <w:szCs w:val="20"/>
        </w:rPr>
        <w:t xml:space="preserve"> And for UE, </w:t>
      </w:r>
      <w:r w:rsidR="007025DD">
        <w:rPr>
          <w:rFonts w:ascii="Times New Roman" w:eastAsia="宋体" w:hAnsi="Times New Roman" w:cs="Times New Roman"/>
          <w:kern w:val="0"/>
          <w:sz w:val="20"/>
          <w:szCs w:val="20"/>
        </w:rPr>
        <w:t xml:space="preserve">most of the lower layer configurations can be kept and </w:t>
      </w:r>
      <w:r w:rsidR="008F4460">
        <w:rPr>
          <w:rFonts w:ascii="Times New Roman" w:eastAsia="宋体" w:hAnsi="Times New Roman" w:cs="Times New Roman"/>
          <w:kern w:val="0"/>
          <w:sz w:val="20"/>
          <w:szCs w:val="20"/>
        </w:rPr>
        <w:t xml:space="preserve">UE is only configured with the delta configuration specified to the target IAB-donor, e.g., key and </w:t>
      </w:r>
      <w:r w:rsidR="008F4460">
        <w:rPr>
          <w:rFonts w:ascii="Times New Roman" w:hAnsi="Times New Roman" w:cs="Times New Roman"/>
          <w:sz w:val="20"/>
          <w:szCs w:val="20"/>
          <w:lang w:val="en-GB"/>
        </w:rPr>
        <w:t xml:space="preserve">security algorithms. </w:t>
      </w:r>
    </w:p>
    <w:p w14:paraId="7C3FC3A6" w14:textId="5E0FB8EC" w:rsidR="002428E4" w:rsidRPr="00C16F07" w:rsidRDefault="00D801F5" w:rsidP="00621AA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C16F07">
        <w:rPr>
          <w:rFonts w:ascii="Times New Roman" w:eastAsia="宋体" w:hAnsi="Times New Roman" w:cs="Times New Roman"/>
          <w:b/>
          <w:bCs/>
          <w:kern w:val="0"/>
          <w:sz w:val="20"/>
          <w:szCs w:val="20"/>
        </w:rPr>
        <w:t xml:space="preserve">Proposal </w:t>
      </w:r>
      <w:r w:rsidR="00575725">
        <w:rPr>
          <w:rFonts w:ascii="Times New Roman" w:eastAsia="宋体" w:hAnsi="Times New Roman" w:cs="Times New Roman"/>
          <w:b/>
          <w:bCs/>
          <w:kern w:val="0"/>
          <w:sz w:val="20"/>
          <w:szCs w:val="20"/>
        </w:rPr>
        <w:t>6</w:t>
      </w:r>
      <w:r w:rsidRPr="00C16F07">
        <w:rPr>
          <w:rFonts w:ascii="Times New Roman" w:eastAsia="宋体" w:hAnsi="Times New Roman" w:cs="Times New Roman"/>
          <w:b/>
          <w:bCs/>
          <w:kern w:val="0"/>
          <w:sz w:val="20"/>
          <w:szCs w:val="20"/>
        </w:rPr>
        <w:t xml:space="preserve">: </w:t>
      </w:r>
      <w:r w:rsidR="00C16F07" w:rsidRPr="00F017C8">
        <w:rPr>
          <w:rFonts w:ascii="Times New Roman" w:eastAsia="宋体" w:hAnsi="Times New Roman" w:cs="Times New Roman"/>
          <w:b/>
          <w:bCs/>
          <w:kern w:val="0"/>
          <w:sz w:val="20"/>
          <w:szCs w:val="20"/>
        </w:rPr>
        <w:t xml:space="preserve">The served UE of mobile IAB-node may </w:t>
      </w:r>
      <w:r w:rsidR="00C16F07">
        <w:rPr>
          <w:rFonts w:ascii="Times New Roman" w:eastAsia="宋体" w:hAnsi="Times New Roman" w:cs="Times New Roman"/>
          <w:b/>
          <w:bCs/>
          <w:kern w:val="0"/>
          <w:sz w:val="20"/>
          <w:szCs w:val="20"/>
        </w:rPr>
        <w:t xml:space="preserve">keep </w:t>
      </w:r>
      <w:r w:rsidR="00C16F07" w:rsidRPr="00C16F07">
        <w:rPr>
          <w:rFonts w:ascii="Times New Roman" w:eastAsia="宋体" w:hAnsi="Times New Roman" w:cs="Times New Roman"/>
          <w:b/>
          <w:bCs/>
          <w:kern w:val="0"/>
          <w:sz w:val="20"/>
          <w:szCs w:val="20"/>
        </w:rPr>
        <w:t>lower layer configurations (RLC, MAC and PHY)</w:t>
      </w:r>
      <w:r w:rsidR="00C16F07">
        <w:rPr>
          <w:rFonts w:ascii="Times New Roman" w:eastAsia="宋体" w:hAnsi="Times New Roman" w:cs="Times New Roman"/>
          <w:b/>
          <w:bCs/>
          <w:kern w:val="0"/>
          <w:sz w:val="20"/>
          <w:szCs w:val="20"/>
        </w:rPr>
        <w:t xml:space="preserve"> </w:t>
      </w:r>
      <w:r w:rsidR="00C16F07" w:rsidRPr="00D95016">
        <w:rPr>
          <w:rFonts w:ascii="Times New Roman" w:eastAsia="宋体" w:hAnsi="Times New Roman" w:cs="Times New Roman"/>
          <w:b/>
          <w:bCs/>
          <w:kern w:val="0"/>
          <w:sz w:val="20"/>
          <w:szCs w:val="20"/>
        </w:rPr>
        <w:t>during inter-donor full migration together with the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2C57919"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p>
    <w:p w14:paraId="3FCECB3D" w14:textId="77777777" w:rsidR="00E37BD6"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Mobile IAB-MT includes the mobile att</w:t>
      </w:r>
      <w:r>
        <w:rPr>
          <w:rFonts w:ascii="Times New Roman" w:eastAsia="宋体" w:hAnsi="Times New Roman" w:cs="Times New Roman"/>
          <w:b/>
          <w:bCs/>
          <w:kern w:val="0"/>
          <w:sz w:val="20"/>
          <w:szCs w:val="20"/>
        </w:rPr>
        <w:t>r</w:t>
      </w:r>
      <w:r w:rsidRPr="00B173B2">
        <w:rPr>
          <w:rFonts w:ascii="Times New Roman" w:eastAsia="宋体" w:hAnsi="Times New Roman" w:cs="Times New Roman"/>
          <w:b/>
          <w:bCs/>
          <w:kern w:val="0"/>
          <w:sz w:val="20"/>
          <w:szCs w:val="20"/>
        </w:rPr>
        <w:t xml:space="preserve">ibute in </w:t>
      </w:r>
      <w:proofErr w:type="spellStart"/>
      <w:r w:rsidRPr="00B173B2">
        <w:rPr>
          <w:rFonts w:ascii="Times New Roman" w:eastAsia="宋体" w:hAnsi="Times New Roman" w:cs="Times New Roman"/>
          <w:b/>
          <w:bCs/>
          <w:kern w:val="0"/>
          <w:sz w:val="20"/>
          <w:szCs w:val="20"/>
        </w:rPr>
        <w:t>RRCSetupComplete</w:t>
      </w:r>
      <w:proofErr w:type="spellEnd"/>
      <w:r w:rsidRPr="00B173B2">
        <w:rPr>
          <w:rFonts w:ascii="Times New Roman" w:eastAsia="宋体" w:hAnsi="Times New Roman" w:cs="Times New Roman"/>
          <w:b/>
          <w:bCs/>
          <w:kern w:val="0"/>
          <w:sz w:val="20"/>
          <w:szCs w:val="20"/>
        </w:rPr>
        <w:t xml:space="preserve"> message</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to IAB-donor-CU.</w:t>
      </w:r>
    </w:p>
    <w:p w14:paraId="7B57C41D" w14:textId="77777777" w:rsidR="00E37BD6" w:rsidRPr="00BC2F24"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w:t>
      </w:r>
      <w:proofErr w:type="spellStart"/>
      <w:r w:rsidRPr="00BC2F24">
        <w:rPr>
          <w:rFonts w:ascii="Times New Roman" w:eastAsia="宋体" w:hAnsi="Times New Roman" w:cs="Times New Roman"/>
          <w:b/>
          <w:bCs/>
          <w:kern w:val="0"/>
          <w:sz w:val="20"/>
          <w:szCs w:val="20"/>
        </w:rPr>
        <w:t>XnAP</w:t>
      </w:r>
      <w:proofErr w:type="spellEnd"/>
      <w:r>
        <w:rPr>
          <w:rFonts w:ascii="Times New Roman" w:eastAsia="宋体" w:hAnsi="Times New Roman" w:cs="Times New Roman"/>
          <w:b/>
          <w:bCs/>
          <w:kern w:val="0"/>
          <w:sz w:val="20"/>
          <w:szCs w:val="20"/>
        </w:rPr>
        <w:t xml:space="preserve"> or NGAP</w:t>
      </w:r>
      <w:r w:rsidRPr="00BC2F24">
        <w:rPr>
          <w:rFonts w:ascii="Times New Roman" w:eastAsia="宋体" w:hAnsi="Times New Roman" w:cs="Times New Roman"/>
          <w:b/>
          <w:bCs/>
          <w:kern w:val="0"/>
          <w:sz w:val="20"/>
          <w:szCs w:val="20"/>
        </w:rPr>
        <w:t xml:space="preserve"> during inter-donor migration procedure.</w:t>
      </w:r>
    </w:p>
    <w:p w14:paraId="710B8E62" w14:textId="77777777" w:rsidR="00E37BD6" w:rsidRPr="00E46C2A"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node broadcast</w:t>
      </w:r>
      <w:r>
        <w:rPr>
          <w:rFonts w:ascii="Times New Roman" w:eastAsia="宋体" w:hAnsi="Times New Roman" w:cs="Times New Roman"/>
          <w:b/>
          <w:bCs/>
          <w:kern w:val="0"/>
          <w:sz w:val="20"/>
          <w:szCs w:val="20"/>
        </w:rPr>
        <w:t>s</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its m</w:t>
      </w:r>
      <w:r w:rsidRPr="00A72210">
        <w:rPr>
          <w:rFonts w:ascii="Times New Roman" w:eastAsia="宋体" w:hAnsi="Times New Roman" w:cs="Times New Roman"/>
          <w:b/>
          <w:bCs/>
          <w:kern w:val="0"/>
          <w:sz w:val="20"/>
          <w:szCs w:val="20"/>
        </w:rPr>
        <w:t>obile attribute to UEs</w:t>
      </w:r>
      <w:r>
        <w:rPr>
          <w:rFonts w:ascii="Times New Roman" w:eastAsia="宋体" w:hAnsi="Times New Roman" w:cs="Times New Roman"/>
          <w:b/>
          <w:bCs/>
          <w:kern w:val="0"/>
          <w:sz w:val="20"/>
          <w:szCs w:val="20"/>
        </w:rPr>
        <w:t>, e.g., via SIB1.</w:t>
      </w:r>
    </w:p>
    <w:p w14:paraId="63623D8F" w14:textId="349F96AD" w:rsidR="00E37BD6" w:rsidRPr="00977DE7"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88239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To d</w:t>
      </w:r>
      <w:r w:rsidRPr="00882390">
        <w:rPr>
          <w:rFonts w:ascii="Times New Roman" w:eastAsia="宋体" w:hAnsi="Times New Roman" w:cs="Times New Roman"/>
          <w:b/>
          <w:bCs/>
          <w:kern w:val="0"/>
          <w:sz w:val="20"/>
          <w:szCs w:val="20"/>
        </w:rPr>
        <w:t xml:space="preserve">ifferentiate onboard UEs and surrounding UEs </w:t>
      </w:r>
      <w:r w:rsidR="0045226C">
        <w:rPr>
          <w:rFonts w:ascii="Times New Roman" w:eastAsia="宋体" w:hAnsi="Times New Roman" w:cs="Times New Roman"/>
          <w:b/>
          <w:bCs/>
          <w:kern w:val="0"/>
          <w:sz w:val="20"/>
          <w:szCs w:val="20"/>
        </w:rPr>
        <w:t>of</w:t>
      </w:r>
      <w:r w:rsidRPr="00882390">
        <w:rPr>
          <w:rFonts w:ascii="Times New Roman" w:eastAsia="宋体" w:hAnsi="Times New Roman" w:cs="Times New Roman"/>
          <w:b/>
          <w:bCs/>
          <w:kern w:val="0"/>
          <w:sz w:val="20"/>
          <w:szCs w:val="20"/>
        </w:rPr>
        <w:t xml:space="preserve"> mobile IAB-node</w:t>
      </w:r>
      <w:r>
        <w:rPr>
          <w:rFonts w:ascii="Times New Roman" w:eastAsia="宋体" w:hAnsi="Times New Roman" w:cs="Times New Roman"/>
          <w:b/>
          <w:bCs/>
          <w:kern w:val="0"/>
          <w:sz w:val="20"/>
          <w:szCs w:val="20"/>
        </w:rPr>
        <w:t xml:space="preserve"> for IAB-donor</w:t>
      </w:r>
      <w:r w:rsidRPr="00882390">
        <w:rPr>
          <w:rFonts w:ascii="Times New Roman" w:eastAsia="宋体" w:hAnsi="Times New Roman" w:cs="Times New Roman"/>
          <w:b/>
          <w:bCs/>
          <w:kern w:val="0"/>
          <w:sz w:val="20"/>
          <w:szCs w:val="20"/>
        </w:rPr>
        <w:t>.</w:t>
      </w:r>
    </w:p>
    <w:p w14:paraId="662F53E2" w14:textId="340172BC" w:rsidR="00131641" w:rsidRDefault="00131641" w:rsidP="0013164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group-based</w:t>
      </w:r>
      <w:r w:rsidRPr="00E13436">
        <w:rPr>
          <w:rFonts w:ascii="Times New Roman" w:eastAsia="宋体" w:hAnsi="Times New Roman" w:cs="Times New Roman"/>
          <w:b/>
          <w:bCs/>
          <w:kern w:val="0"/>
          <w:sz w:val="20"/>
          <w:szCs w:val="20"/>
        </w:rPr>
        <w:t xml:space="preserve"> Handover Request and Handover Request Acknowledge are used for all </w:t>
      </w:r>
      <w:r w:rsidRPr="00CB6749">
        <w:rPr>
          <w:rFonts w:ascii="Times New Roman" w:eastAsia="宋体" w:hAnsi="Times New Roman" w:cs="Times New Roman"/>
          <w:b/>
          <w:bCs/>
          <w:kern w:val="0"/>
          <w:sz w:val="20"/>
          <w:szCs w:val="20"/>
        </w:rPr>
        <w:t xml:space="preserve">onboard connected </w:t>
      </w:r>
      <w:r w:rsidRPr="00E13436">
        <w:rPr>
          <w:rFonts w:ascii="Times New Roman" w:eastAsia="宋体" w:hAnsi="Times New Roman" w:cs="Times New Roman"/>
          <w:b/>
          <w:bCs/>
          <w:kern w:val="0"/>
          <w:sz w:val="20"/>
          <w:szCs w:val="20"/>
        </w:rPr>
        <w:t>UEs</w:t>
      </w:r>
      <w:r>
        <w:rPr>
          <w:rFonts w:ascii="Times New Roman" w:eastAsia="宋体" w:hAnsi="Times New Roman" w:cs="Times New Roman"/>
          <w:b/>
          <w:bCs/>
          <w:kern w:val="0"/>
          <w:sz w:val="20"/>
          <w:szCs w:val="20"/>
        </w:rPr>
        <w:t xml:space="preserve"> of mobile IAB-node</w:t>
      </w:r>
      <w:r w:rsidRPr="00E13436">
        <w:rPr>
          <w:rFonts w:ascii="Times New Roman" w:eastAsia="宋体" w:hAnsi="Times New Roman" w:cs="Times New Roman"/>
          <w:b/>
          <w:bCs/>
          <w:kern w:val="0"/>
          <w:sz w:val="20"/>
          <w:szCs w:val="20"/>
        </w:rPr>
        <w:t>.</w:t>
      </w:r>
    </w:p>
    <w:p w14:paraId="23F9D184" w14:textId="3AEB1C07" w:rsidR="00E37BD6" w:rsidRPr="00C16F07" w:rsidRDefault="00E37BD6" w:rsidP="00E37BD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C16F07">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6</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 xml:space="preserve">The served UE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 together with the mobile IAB-node.</w:t>
      </w:r>
      <w:r w:rsidR="006C6E1A">
        <w:rPr>
          <w:rFonts w:ascii="Times New Roman" w:eastAsia="宋体" w:hAnsi="Times New Roman" w:cs="Times New Roman"/>
          <w:b/>
          <w:bCs/>
          <w:kern w:val="0"/>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3244BFD7" w14:textId="155EF38F" w:rsidR="00C07627" w:rsidRDefault="00C07627" w:rsidP="00C076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w:t>
      </w:r>
      <w:proofErr w:type="spellStart"/>
      <w:r>
        <w:rPr>
          <w:rFonts w:ascii="Times New Roman" w:eastAsia="宋体" w:hAnsi="Times New Roman" w:cs="Times New Roman"/>
          <w:kern w:val="0"/>
          <w:sz w:val="20"/>
          <w:lang w:val="x-none"/>
        </w:rPr>
        <w:t>NR_mobile_IAB</w:t>
      </w:r>
      <w:proofErr w:type="spellEnd"/>
      <w:r>
        <w:rPr>
          <w:rFonts w:ascii="Times New Roman" w:eastAsia="宋体" w:hAnsi="Times New Roman" w:cs="Times New Roman"/>
          <w:kern w:val="0"/>
          <w:sz w:val="20"/>
          <w:lang w:val="x-none"/>
        </w:rPr>
        <w:t xml:space="preserve">. </w:t>
      </w:r>
    </w:p>
    <w:p w14:paraId="76B27A08" w14:textId="3A15A143" w:rsidR="00A212E3" w:rsidRDefault="00A212E3" w:rsidP="00C076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RAN3 117-e meeting.</w:t>
      </w:r>
    </w:p>
    <w:p w14:paraId="6AD8509E" w14:textId="1D169484" w:rsidR="009762FC" w:rsidRPr="009762FC" w:rsidRDefault="009762FC" w:rsidP="009762F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RAN2 119-e meeting.</w:t>
      </w:r>
    </w:p>
    <w:p w14:paraId="7E72C195" w14:textId="77777777" w:rsidR="003E0958" w:rsidRPr="00977DE7" w:rsidRDefault="003E0958" w:rsidP="00A60CDE">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sectPr w:rsidR="003E0958" w:rsidRPr="00977DE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F211" w14:textId="77777777" w:rsidR="00E55256" w:rsidRDefault="00E55256" w:rsidP="00AA3FAE">
      <w:r>
        <w:separator/>
      </w:r>
    </w:p>
  </w:endnote>
  <w:endnote w:type="continuationSeparator" w:id="0">
    <w:p w14:paraId="089952AA" w14:textId="77777777" w:rsidR="00E55256" w:rsidRDefault="00E55256"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87F9" w14:textId="77777777" w:rsidR="00E55256" w:rsidRDefault="00E55256" w:rsidP="00AA3FAE">
      <w:r>
        <w:separator/>
      </w:r>
    </w:p>
  </w:footnote>
  <w:footnote w:type="continuationSeparator" w:id="0">
    <w:p w14:paraId="30C214B1" w14:textId="77777777" w:rsidR="00E55256" w:rsidRDefault="00E55256"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9"/>
  </w:num>
  <w:num w:numId="2">
    <w:abstractNumId w:val="4"/>
  </w:num>
  <w:num w:numId="3">
    <w:abstractNumId w:val="2"/>
  </w:num>
  <w:num w:numId="4">
    <w:abstractNumId w:val="12"/>
  </w:num>
  <w:num w:numId="5">
    <w:abstractNumId w:val="7"/>
  </w:num>
  <w:num w:numId="6">
    <w:abstractNumId w:val="16"/>
  </w:num>
  <w:num w:numId="7">
    <w:abstractNumId w:val="14"/>
  </w:num>
  <w:num w:numId="8">
    <w:abstractNumId w:val="8"/>
  </w:num>
  <w:num w:numId="9">
    <w:abstractNumId w:val="0"/>
  </w:num>
  <w:num w:numId="10">
    <w:abstractNumId w:val="5"/>
  </w:num>
  <w:num w:numId="11">
    <w:abstractNumId w:val="10"/>
  </w:num>
  <w:num w:numId="12">
    <w:abstractNumId w:val="15"/>
  </w:num>
  <w:num w:numId="13">
    <w:abstractNumId w:val="11"/>
  </w:num>
  <w:num w:numId="14">
    <w:abstractNumId w:val="6"/>
  </w:num>
  <w:num w:numId="15">
    <w:abstractNumId w:val="1"/>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240AC"/>
    <w:rsid w:val="000277D7"/>
    <w:rsid w:val="00033584"/>
    <w:rsid w:val="00036BFD"/>
    <w:rsid w:val="00036C32"/>
    <w:rsid w:val="00036D3D"/>
    <w:rsid w:val="00037738"/>
    <w:rsid w:val="00037A2D"/>
    <w:rsid w:val="0004320E"/>
    <w:rsid w:val="00043B7B"/>
    <w:rsid w:val="00047545"/>
    <w:rsid w:val="000502FD"/>
    <w:rsid w:val="000505CB"/>
    <w:rsid w:val="00055D15"/>
    <w:rsid w:val="000566E1"/>
    <w:rsid w:val="00060A16"/>
    <w:rsid w:val="00064FA3"/>
    <w:rsid w:val="000676A1"/>
    <w:rsid w:val="0007088F"/>
    <w:rsid w:val="000723BB"/>
    <w:rsid w:val="00072574"/>
    <w:rsid w:val="000752E1"/>
    <w:rsid w:val="00080CC2"/>
    <w:rsid w:val="00082EC4"/>
    <w:rsid w:val="0008663F"/>
    <w:rsid w:val="000978FD"/>
    <w:rsid w:val="000A1873"/>
    <w:rsid w:val="000A4883"/>
    <w:rsid w:val="000B09C9"/>
    <w:rsid w:val="000B161E"/>
    <w:rsid w:val="000B1938"/>
    <w:rsid w:val="000B1D18"/>
    <w:rsid w:val="000B2144"/>
    <w:rsid w:val="000B6690"/>
    <w:rsid w:val="000C008E"/>
    <w:rsid w:val="000C0937"/>
    <w:rsid w:val="000C19A3"/>
    <w:rsid w:val="000C2AA4"/>
    <w:rsid w:val="000D18C1"/>
    <w:rsid w:val="000D2B2B"/>
    <w:rsid w:val="000E15E2"/>
    <w:rsid w:val="000E443D"/>
    <w:rsid w:val="000E5A48"/>
    <w:rsid w:val="000E7279"/>
    <w:rsid w:val="000F40EC"/>
    <w:rsid w:val="0010503F"/>
    <w:rsid w:val="001119CE"/>
    <w:rsid w:val="00111B28"/>
    <w:rsid w:val="00114A1F"/>
    <w:rsid w:val="00126DEE"/>
    <w:rsid w:val="00127B59"/>
    <w:rsid w:val="001305AC"/>
    <w:rsid w:val="00131641"/>
    <w:rsid w:val="001322B8"/>
    <w:rsid w:val="00132B08"/>
    <w:rsid w:val="00134957"/>
    <w:rsid w:val="00135BED"/>
    <w:rsid w:val="00135C3C"/>
    <w:rsid w:val="00141555"/>
    <w:rsid w:val="00144C24"/>
    <w:rsid w:val="00152D85"/>
    <w:rsid w:val="001556FC"/>
    <w:rsid w:val="00157E02"/>
    <w:rsid w:val="0016588F"/>
    <w:rsid w:val="00175A07"/>
    <w:rsid w:val="001826EA"/>
    <w:rsid w:val="00185A91"/>
    <w:rsid w:val="00190A87"/>
    <w:rsid w:val="00190FAF"/>
    <w:rsid w:val="00191ACA"/>
    <w:rsid w:val="001A2383"/>
    <w:rsid w:val="001A34F9"/>
    <w:rsid w:val="001A4DB9"/>
    <w:rsid w:val="001A7350"/>
    <w:rsid w:val="001B1D5F"/>
    <w:rsid w:val="001B2FA1"/>
    <w:rsid w:val="001B361E"/>
    <w:rsid w:val="001B4767"/>
    <w:rsid w:val="001B7E53"/>
    <w:rsid w:val="001C1DAB"/>
    <w:rsid w:val="001C1DCC"/>
    <w:rsid w:val="001C473D"/>
    <w:rsid w:val="001D012F"/>
    <w:rsid w:val="001D59CE"/>
    <w:rsid w:val="001D5F73"/>
    <w:rsid w:val="001D69F7"/>
    <w:rsid w:val="001D70B0"/>
    <w:rsid w:val="001F0BEA"/>
    <w:rsid w:val="001F1421"/>
    <w:rsid w:val="00212BCD"/>
    <w:rsid w:val="00212DB4"/>
    <w:rsid w:val="002136B8"/>
    <w:rsid w:val="002222FA"/>
    <w:rsid w:val="0023239F"/>
    <w:rsid w:val="002340BA"/>
    <w:rsid w:val="00234C75"/>
    <w:rsid w:val="00237A12"/>
    <w:rsid w:val="002428E4"/>
    <w:rsid w:val="0024433A"/>
    <w:rsid w:val="00245E3F"/>
    <w:rsid w:val="002500C6"/>
    <w:rsid w:val="00253AF0"/>
    <w:rsid w:val="002551E1"/>
    <w:rsid w:val="00256265"/>
    <w:rsid w:val="00256FA7"/>
    <w:rsid w:val="00267070"/>
    <w:rsid w:val="00273494"/>
    <w:rsid w:val="00276074"/>
    <w:rsid w:val="00276F97"/>
    <w:rsid w:val="002911AD"/>
    <w:rsid w:val="00296038"/>
    <w:rsid w:val="002A2C8B"/>
    <w:rsid w:val="002A52AF"/>
    <w:rsid w:val="002B110B"/>
    <w:rsid w:val="002B32DD"/>
    <w:rsid w:val="002C1AD2"/>
    <w:rsid w:val="002D4547"/>
    <w:rsid w:val="002D4BCF"/>
    <w:rsid w:val="002D4E9D"/>
    <w:rsid w:val="002E61C9"/>
    <w:rsid w:val="002E6200"/>
    <w:rsid w:val="002E692B"/>
    <w:rsid w:val="002E6AB3"/>
    <w:rsid w:val="002F4BF9"/>
    <w:rsid w:val="002F5ADB"/>
    <w:rsid w:val="002F7DD1"/>
    <w:rsid w:val="0030141D"/>
    <w:rsid w:val="00304AB3"/>
    <w:rsid w:val="0030768E"/>
    <w:rsid w:val="00311F6E"/>
    <w:rsid w:val="003179AD"/>
    <w:rsid w:val="00320179"/>
    <w:rsid w:val="00320565"/>
    <w:rsid w:val="00321461"/>
    <w:rsid w:val="0032189B"/>
    <w:rsid w:val="003235A4"/>
    <w:rsid w:val="00330B37"/>
    <w:rsid w:val="00334DB1"/>
    <w:rsid w:val="00341CB7"/>
    <w:rsid w:val="00342086"/>
    <w:rsid w:val="00343CCD"/>
    <w:rsid w:val="00361C16"/>
    <w:rsid w:val="00365B8F"/>
    <w:rsid w:val="003679C3"/>
    <w:rsid w:val="00372A8A"/>
    <w:rsid w:val="003731AF"/>
    <w:rsid w:val="0037446F"/>
    <w:rsid w:val="00375C4E"/>
    <w:rsid w:val="00380000"/>
    <w:rsid w:val="00384228"/>
    <w:rsid w:val="00390E2E"/>
    <w:rsid w:val="00390E73"/>
    <w:rsid w:val="00390FB4"/>
    <w:rsid w:val="00392D92"/>
    <w:rsid w:val="00392F22"/>
    <w:rsid w:val="00394045"/>
    <w:rsid w:val="003953EC"/>
    <w:rsid w:val="00396E48"/>
    <w:rsid w:val="003A0B1A"/>
    <w:rsid w:val="003A4A2A"/>
    <w:rsid w:val="003A5735"/>
    <w:rsid w:val="003B6F2C"/>
    <w:rsid w:val="003B6F44"/>
    <w:rsid w:val="003B717D"/>
    <w:rsid w:val="003B751D"/>
    <w:rsid w:val="003C2950"/>
    <w:rsid w:val="003C5399"/>
    <w:rsid w:val="003D1A4E"/>
    <w:rsid w:val="003D3860"/>
    <w:rsid w:val="003D3CD3"/>
    <w:rsid w:val="003D4A95"/>
    <w:rsid w:val="003E0958"/>
    <w:rsid w:val="003E1D22"/>
    <w:rsid w:val="003E3846"/>
    <w:rsid w:val="003F3AFD"/>
    <w:rsid w:val="003F6ABF"/>
    <w:rsid w:val="0040415F"/>
    <w:rsid w:val="00406254"/>
    <w:rsid w:val="00412763"/>
    <w:rsid w:val="004136AB"/>
    <w:rsid w:val="00413FAB"/>
    <w:rsid w:val="00414D11"/>
    <w:rsid w:val="00415AD8"/>
    <w:rsid w:val="00415B4C"/>
    <w:rsid w:val="00415D56"/>
    <w:rsid w:val="0042361B"/>
    <w:rsid w:val="004246D2"/>
    <w:rsid w:val="00427CB3"/>
    <w:rsid w:val="00430C1C"/>
    <w:rsid w:val="0043723B"/>
    <w:rsid w:val="00443070"/>
    <w:rsid w:val="0044584A"/>
    <w:rsid w:val="004477D6"/>
    <w:rsid w:val="00450E5B"/>
    <w:rsid w:val="0045226C"/>
    <w:rsid w:val="00452823"/>
    <w:rsid w:val="00457055"/>
    <w:rsid w:val="00463114"/>
    <w:rsid w:val="0046367F"/>
    <w:rsid w:val="00466B81"/>
    <w:rsid w:val="00471709"/>
    <w:rsid w:val="00471AD9"/>
    <w:rsid w:val="0047389C"/>
    <w:rsid w:val="00475801"/>
    <w:rsid w:val="004774BA"/>
    <w:rsid w:val="00486B2C"/>
    <w:rsid w:val="004927F4"/>
    <w:rsid w:val="00494DF4"/>
    <w:rsid w:val="00496030"/>
    <w:rsid w:val="004A0C67"/>
    <w:rsid w:val="004A1AEA"/>
    <w:rsid w:val="004A25BE"/>
    <w:rsid w:val="004A5C45"/>
    <w:rsid w:val="004C60BA"/>
    <w:rsid w:val="004C735E"/>
    <w:rsid w:val="004D32F2"/>
    <w:rsid w:val="004D4385"/>
    <w:rsid w:val="004D606F"/>
    <w:rsid w:val="004D62D5"/>
    <w:rsid w:val="004E3A43"/>
    <w:rsid w:val="004F61DC"/>
    <w:rsid w:val="005007D4"/>
    <w:rsid w:val="00502B78"/>
    <w:rsid w:val="005039F0"/>
    <w:rsid w:val="00512FC9"/>
    <w:rsid w:val="00513AA1"/>
    <w:rsid w:val="0051628D"/>
    <w:rsid w:val="0051755B"/>
    <w:rsid w:val="0052004E"/>
    <w:rsid w:val="00520A23"/>
    <w:rsid w:val="0052635C"/>
    <w:rsid w:val="00530A86"/>
    <w:rsid w:val="00531B04"/>
    <w:rsid w:val="00542B46"/>
    <w:rsid w:val="00544DED"/>
    <w:rsid w:val="00551CC7"/>
    <w:rsid w:val="00555FA0"/>
    <w:rsid w:val="00561831"/>
    <w:rsid w:val="00563788"/>
    <w:rsid w:val="00564234"/>
    <w:rsid w:val="005649E8"/>
    <w:rsid w:val="0057053B"/>
    <w:rsid w:val="00575725"/>
    <w:rsid w:val="00576785"/>
    <w:rsid w:val="00576915"/>
    <w:rsid w:val="00581A65"/>
    <w:rsid w:val="00581CF8"/>
    <w:rsid w:val="00585B50"/>
    <w:rsid w:val="00592A23"/>
    <w:rsid w:val="005948A9"/>
    <w:rsid w:val="005955C1"/>
    <w:rsid w:val="005963F4"/>
    <w:rsid w:val="005A382F"/>
    <w:rsid w:val="005A3D99"/>
    <w:rsid w:val="005A5B85"/>
    <w:rsid w:val="005A69FF"/>
    <w:rsid w:val="005B2E70"/>
    <w:rsid w:val="005B5C3C"/>
    <w:rsid w:val="005B7C38"/>
    <w:rsid w:val="005C2CC5"/>
    <w:rsid w:val="005C3F0F"/>
    <w:rsid w:val="005C4076"/>
    <w:rsid w:val="005C506E"/>
    <w:rsid w:val="005C5C02"/>
    <w:rsid w:val="005D0B2C"/>
    <w:rsid w:val="005D4401"/>
    <w:rsid w:val="005D4C79"/>
    <w:rsid w:val="005D7561"/>
    <w:rsid w:val="005E2E23"/>
    <w:rsid w:val="005E3163"/>
    <w:rsid w:val="005E6FC3"/>
    <w:rsid w:val="005F5AC9"/>
    <w:rsid w:val="006014DF"/>
    <w:rsid w:val="00603256"/>
    <w:rsid w:val="006125F9"/>
    <w:rsid w:val="00616F03"/>
    <w:rsid w:val="00617F75"/>
    <w:rsid w:val="00621AA7"/>
    <w:rsid w:val="0063053E"/>
    <w:rsid w:val="00632A49"/>
    <w:rsid w:val="0063482D"/>
    <w:rsid w:val="00637F05"/>
    <w:rsid w:val="00640255"/>
    <w:rsid w:val="006469D6"/>
    <w:rsid w:val="00653BB4"/>
    <w:rsid w:val="006571A2"/>
    <w:rsid w:val="00657FF9"/>
    <w:rsid w:val="00664B31"/>
    <w:rsid w:val="00666EA1"/>
    <w:rsid w:val="00672C28"/>
    <w:rsid w:val="00673EB7"/>
    <w:rsid w:val="00674294"/>
    <w:rsid w:val="006800AE"/>
    <w:rsid w:val="006812B2"/>
    <w:rsid w:val="00684A23"/>
    <w:rsid w:val="0069000C"/>
    <w:rsid w:val="006931BD"/>
    <w:rsid w:val="00696D8E"/>
    <w:rsid w:val="0069713B"/>
    <w:rsid w:val="00697690"/>
    <w:rsid w:val="006A0A85"/>
    <w:rsid w:val="006A22C3"/>
    <w:rsid w:val="006A7B11"/>
    <w:rsid w:val="006B2408"/>
    <w:rsid w:val="006B763F"/>
    <w:rsid w:val="006B7D13"/>
    <w:rsid w:val="006C17A2"/>
    <w:rsid w:val="006C1F5B"/>
    <w:rsid w:val="006C6E1A"/>
    <w:rsid w:val="006D463C"/>
    <w:rsid w:val="006D4F64"/>
    <w:rsid w:val="006D51EF"/>
    <w:rsid w:val="006D62EA"/>
    <w:rsid w:val="006D6EE7"/>
    <w:rsid w:val="006E7CED"/>
    <w:rsid w:val="006E7F53"/>
    <w:rsid w:val="006F009A"/>
    <w:rsid w:val="006F3844"/>
    <w:rsid w:val="006F5211"/>
    <w:rsid w:val="006F718A"/>
    <w:rsid w:val="006F7948"/>
    <w:rsid w:val="006F7A32"/>
    <w:rsid w:val="00701C8C"/>
    <w:rsid w:val="007025DD"/>
    <w:rsid w:val="00703BAA"/>
    <w:rsid w:val="00707153"/>
    <w:rsid w:val="00707369"/>
    <w:rsid w:val="00711D23"/>
    <w:rsid w:val="00712DD9"/>
    <w:rsid w:val="00714F93"/>
    <w:rsid w:val="007158E6"/>
    <w:rsid w:val="00724078"/>
    <w:rsid w:val="007260FF"/>
    <w:rsid w:val="0073082C"/>
    <w:rsid w:val="00732338"/>
    <w:rsid w:val="00733434"/>
    <w:rsid w:val="00735937"/>
    <w:rsid w:val="0073758A"/>
    <w:rsid w:val="007514CB"/>
    <w:rsid w:val="00760B23"/>
    <w:rsid w:val="00764288"/>
    <w:rsid w:val="00766391"/>
    <w:rsid w:val="0078172C"/>
    <w:rsid w:val="00785D79"/>
    <w:rsid w:val="0079372C"/>
    <w:rsid w:val="0079429A"/>
    <w:rsid w:val="007A13C5"/>
    <w:rsid w:val="007B0D5E"/>
    <w:rsid w:val="007B510C"/>
    <w:rsid w:val="007C0CA1"/>
    <w:rsid w:val="007C2284"/>
    <w:rsid w:val="007C759A"/>
    <w:rsid w:val="007C7FDE"/>
    <w:rsid w:val="007D41EC"/>
    <w:rsid w:val="007D48BB"/>
    <w:rsid w:val="007E0AA7"/>
    <w:rsid w:val="007E213F"/>
    <w:rsid w:val="007E2405"/>
    <w:rsid w:val="007E2DF6"/>
    <w:rsid w:val="007F0740"/>
    <w:rsid w:val="007F25EF"/>
    <w:rsid w:val="007F30C7"/>
    <w:rsid w:val="007F34F0"/>
    <w:rsid w:val="007F7505"/>
    <w:rsid w:val="007F7E36"/>
    <w:rsid w:val="007F7F2C"/>
    <w:rsid w:val="00803FA0"/>
    <w:rsid w:val="00804083"/>
    <w:rsid w:val="00817607"/>
    <w:rsid w:val="00835D43"/>
    <w:rsid w:val="00841790"/>
    <w:rsid w:val="0084197E"/>
    <w:rsid w:val="0084480A"/>
    <w:rsid w:val="00846209"/>
    <w:rsid w:val="00856607"/>
    <w:rsid w:val="0085709E"/>
    <w:rsid w:val="00865BF3"/>
    <w:rsid w:val="008666A0"/>
    <w:rsid w:val="008703AE"/>
    <w:rsid w:val="0087634F"/>
    <w:rsid w:val="0087797E"/>
    <w:rsid w:val="00880DB1"/>
    <w:rsid w:val="00882390"/>
    <w:rsid w:val="0088277A"/>
    <w:rsid w:val="00882FE4"/>
    <w:rsid w:val="00885223"/>
    <w:rsid w:val="00886368"/>
    <w:rsid w:val="00887CF9"/>
    <w:rsid w:val="00890562"/>
    <w:rsid w:val="00895539"/>
    <w:rsid w:val="00897B68"/>
    <w:rsid w:val="008A15DE"/>
    <w:rsid w:val="008A4F6F"/>
    <w:rsid w:val="008A6753"/>
    <w:rsid w:val="008A6990"/>
    <w:rsid w:val="008A6F6B"/>
    <w:rsid w:val="008B2BFF"/>
    <w:rsid w:val="008B37FF"/>
    <w:rsid w:val="008B5751"/>
    <w:rsid w:val="008C187A"/>
    <w:rsid w:val="008C2206"/>
    <w:rsid w:val="008E1EF4"/>
    <w:rsid w:val="008E393F"/>
    <w:rsid w:val="008E7911"/>
    <w:rsid w:val="008F1CD9"/>
    <w:rsid w:val="008F4460"/>
    <w:rsid w:val="0090218F"/>
    <w:rsid w:val="00905280"/>
    <w:rsid w:val="00910096"/>
    <w:rsid w:val="00912BC3"/>
    <w:rsid w:val="00912CF1"/>
    <w:rsid w:val="00917590"/>
    <w:rsid w:val="00924A6E"/>
    <w:rsid w:val="009271BA"/>
    <w:rsid w:val="00927B05"/>
    <w:rsid w:val="009306C9"/>
    <w:rsid w:val="0093163A"/>
    <w:rsid w:val="00937E22"/>
    <w:rsid w:val="009460B5"/>
    <w:rsid w:val="0094767F"/>
    <w:rsid w:val="009479CD"/>
    <w:rsid w:val="0095125E"/>
    <w:rsid w:val="00952028"/>
    <w:rsid w:val="0095297E"/>
    <w:rsid w:val="009536EB"/>
    <w:rsid w:val="00956BED"/>
    <w:rsid w:val="0096468A"/>
    <w:rsid w:val="0096631C"/>
    <w:rsid w:val="0096687C"/>
    <w:rsid w:val="00967535"/>
    <w:rsid w:val="0097141E"/>
    <w:rsid w:val="0097259E"/>
    <w:rsid w:val="009762FC"/>
    <w:rsid w:val="00977DE7"/>
    <w:rsid w:val="009862F0"/>
    <w:rsid w:val="009912C5"/>
    <w:rsid w:val="009A1EA2"/>
    <w:rsid w:val="009A2412"/>
    <w:rsid w:val="009A453C"/>
    <w:rsid w:val="009A5EA0"/>
    <w:rsid w:val="009B2CF8"/>
    <w:rsid w:val="009B4AB1"/>
    <w:rsid w:val="009C0AD1"/>
    <w:rsid w:val="009D661C"/>
    <w:rsid w:val="009E2028"/>
    <w:rsid w:val="009E3E31"/>
    <w:rsid w:val="009E4A78"/>
    <w:rsid w:val="009E506A"/>
    <w:rsid w:val="009E64E0"/>
    <w:rsid w:val="009F010A"/>
    <w:rsid w:val="009F0D05"/>
    <w:rsid w:val="009F1A67"/>
    <w:rsid w:val="009F2104"/>
    <w:rsid w:val="00A0081A"/>
    <w:rsid w:val="00A00FB4"/>
    <w:rsid w:val="00A02560"/>
    <w:rsid w:val="00A02807"/>
    <w:rsid w:val="00A1302B"/>
    <w:rsid w:val="00A212E3"/>
    <w:rsid w:val="00A2451F"/>
    <w:rsid w:val="00A25C57"/>
    <w:rsid w:val="00A33FE5"/>
    <w:rsid w:val="00A407AC"/>
    <w:rsid w:val="00A60CDE"/>
    <w:rsid w:val="00A61DF4"/>
    <w:rsid w:val="00A620B4"/>
    <w:rsid w:val="00A675C7"/>
    <w:rsid w:val="00A707C5"/>
    <w:rsid w:val="00A72210"/>
    <w:rsid w:val="00A75B82"/>
    <w:rsid w:val="00A765AC"/>
    <w:rsid w:val="00A83A17"/>
    <w:rsid w:val="00A85027"/>
    <w:rsid w:val="00A87E15"/>
    <w:rsid w:val="00AA0064"/>
    <w:rsid w:val="00AA2C1B"/>
    <w:rsid w:val="00AA333A"/>
    <w:rsid w:val="00AA3CB7"/>
    <w:rsid w:val="00AA3FAE"/>
    <w:rsid w:val="00AA43E5"/>
    <w:rsid w:val="00AA7EAE"/>
    <w:rsid w:val="00AB304B"/>
    <w:rsid w:val="00AC214F"/>
    <w:rsid w:val="00AC3051"/>
    <w:rsid w:val="00AC6372"/>
    <w:rsid w:val="00AD301A"/>
    <w:rsid w:val="00AE1953"/>
    <w:rsid w:val="00AE3826"/>
    <w:rsid w:val="00AE6011"/>
    <w:rsid w:val="00AE64E3"/>
    <w:rsid w:val="00AE6965"/>
    <w:rsid w:val="00AF1285"/>
    <w:rsid w:val="00AF2710"/>
    <w:rsid w:val="00B03F05"/>
    <w:rsid w:val="00B205DD"/>
    <w:rsid w:val="00B21234"/>
    <w:rsid w:val="00B226EC"/>
    <w:rsid w:val="00B236AE"/>
    <w:rsid w:val="00B25068"/>
    <w:rsid w:val="00B25314"/>
    <w:rsid w:val="00B33EE7"/>
    <w:rsid w:val="00B36BE9"/>
    <w:rsid w:val="00B36DB5"/>
    <w:rsid w:val="00B403D4"/>
    <w:rsid w:val="00B475EE"/>
    <w:rsid w:val="00B51988"/>
    <w:rsid w:val="00B5693F"/>
    <w:rsid w:val="00B63582"/>
    <w:rsid w:val="00B76C9C"/>
    <w:rsid w:val="00B80225"/>
    <w:rsid w:val="00B91029"/>
    <w:rsid w:val="00B936EA"/>
    <w:rsid w:val="00BA1A39"/>
    <w:rsid w:val="00BB03AA"/>
    <w:rsid w:val="00BC2F24"/>
    <w:rsid w:val="00BC5C55"/>
    <w:rsid w:val="00BC717B"/>
    <w:rsid w:val="00BD07F6"/>
    <w:rsid w:val="00BD3255"/>
    <w:rsid w:val="00BE3AF0"/>
    <w:rsid w:val="00BE3ECD"/>
    <w:rsid w:val="00BE56D3"/>
    <w:rsid w:val="00BE66BB"/>
    <w:rsid w:val="00BE7920"/>
    <w:rsid w:val="00C01CA9"/>
    <w:rsid w:val="00C0445B"/>
    <w:rsid w:val="00C07359"/>
    <w:rsid w:val="00C07627"/>
    <w:rsid w:val="00C1498E"/>
    <w:rsid w:val="00C16F07"/>
    <w:rsid w:val="00C25C60"/>
    <w:rsid w:val="00C3047B"/>
    <w:rsid w:val="00C31487"/>
    <w:rsid w:val="00C33EEF"/>
    <w:rsid w:val="00C35774"/>
    <w:rsid w:val="00C447AC"/>
    <w:rsid w:val="00C448F4"/>
    <w:rsid w:val="00C472BE"/>
    <w:rsid w:val="00C50F28"/>
    <w:rsid w:val="00C53D68"/>
    <w:rsid w:val="00C61623"/>
    <w:rsid w:val="00C663F0"/>
    <w:rsid w:val="00C733E5"/>
    <w:rsid w:val="00C75852"/>
    <w:rsid w:val="00C758A1"/>
    <w:rsid w:val="00C81BA0"/>
    <w:rsid w:val="00C83745"/>
    <w:rsid w:val="00C84013"/>
    <w:rsid w:val="00C92F7E"/>
    <w:rsid w:val="00C93460"/>
    <w:rsid w:val="00C97A48"/>
    <w:rsid w:val="00CA11A4"/>
    <w:rsid w:val="00CA1662"/>
    <w:rsid w:val="00CA2F8B"/>
    <w:rsid w:val="00CB3AF7"/>
    <w:rsid w:val="00CB786B"/>
    <w:rsid w:val="00CC03CF"/>
    <w:rsid w:val="00CC1A0C"/>
    <w:rsid w:val="00CC4341"/>
    <w:rsid w:val="00CC5834"/>
    <w:rsid w:val="00CC5F4B"/>
    <w:rsid w:val="00CC62E8"/>
    <w:rsid w:val="00CC72B0"/>
    <w:rsid w:val="00CD0C0C"/>
    <w:rsid w:val="00CD729C"/>
    <w:rsid w:val="00CE298A"/>
    <w:rsid w:val="00CE3E0A"/>
    <w:rsid w:val="00CE565B"/>
    <w:rsid w:val="00CE7C33"/>
    <w:rsid w:val="00CF2621"/>
    <w:rsid w:val="00CF477A"/>
    <w:rsid w:val="00CF4D2F"/>
    <w:rsid w:val="00CF781D"/>
    <w:rsid w:val="00D01B08"/>
    <w:rsid w:val="00D104F6"/>
    <w:rsid w:val="00D13979"/>
    <w:rsid w:val="00D16925"/>
    <w:rsid w:val="00D20EDC"/>
    <w:rsid w:val="00D226CE"/>
    <w:rsid w:val="00D242C5"/>
    <w:rsid w:val="00D26BF2"/>
    <w:rsid w:val="00D26F6E"/>
    <w:rsid w:val="00D27F50"/>
    <w:rsid w:val="00D35939"/>
    <w:rsid w:val="00D43587"/>
    <w:rsid w:val="00D43FDB"/>
    <w:rsid w:val="00D45C4F"/>
    <w:rsid w:val="00D526C9"/>
    <w:rsid w:val="00D533AB"/>
    <w:rsid w:val="00D5676C"/>
    <w:rsid w:val="00D57EF6"/>
    <w:rsid w:val="00D6107C"/>
    <w:rsid w:val="00D635A8"/>
    <w:rsid w:val="00D73418"/>
    <w:rsid w:val="00D74DD4"/>
    <w:rsid w:val="00D75DA1"/>
    <w:rsid w:val="00D76F6E"/>
    <w:rsid w:val="00D801F5"/>
    <w:rsid w:val="00D851CA"/>
    <w:rsid w:val="00D85925"/>
    <w:rsid w:val="00D92865"/>
    <w:rsid w:val="00D95016"/>
    <w:rsid w:val="00D956D6"/>
    <w:rsid w:val="00D96DF4"/>
    <w:rsid w:val="00D971A3"/>
    <w:rsid w:val="00D9742C"/>
    <w:rsid w:val="00DA0578"/>
    <w:rsid w:val="00DA6317"/>
    <w:rsid w:val="00DB020D"/>
    <w:rsid w:val="00DB113C"/>
    <w:rsid w:val="00DB22CF"/>
    <w:rsid w:val="00DB5E41"/>
    <w:rsid w:val="00DC0D46"/>
    <w:rsid w:val="00DC21C1"/>
    <w:rsid w:val="00DC2554"/>
    <w:rsid w:val="00DC27A2"/>
    <w:rsid w:val="00DC2B66"/>
    <w:rsid w:val="00DC3576"/>
    <w:rsid w:val="00DC494E"/>
    <w:rsid w:val="00DC4A89"/>
    <w:rsid w:val="00DD4A2B"/>
    <w:rsid w:val="00DD4FF8"/>
    <w:rsid w:val="00DE15ED"/>
    <w:rsid w:val="00DE44DC"/>
    <w:rsid w:val="00DF1E8D"/>
    <w:rsid w:val="00DF66F0"/>
    <w:rsid w:val="00DF6E59"/>
    <w:rsid w:val="00E00799"/>
    <w:rsid w:val="00E00E64"/>
    <w:rsid w:val="00E026F9"/>
    <w:rsid w:val="00E053C3"/>
    <w:rsid w:val="00E06C9B"/>
    <w:rsid w:val="00E13436"/>
    <w:rsid w:val="00E22EFA"/>
    <w:rsid w:val="00E2767D"/>
    <w:rsid w:val="00E27EA4"/>
    <w:rsid w:val="00E345CB"/>
    <w:rsid w:val="00E3573E"/>
    <w:rsid w:val="00E37BD6"/>
    <w:rsid w:val="00E45A53"/>
    <w:rsid w:val="00E51052"/>
    <w:rsid w:val="00E52A20"/>
    <w:rsid w:val="00E55256"/>
    <w:rsid w:val="00E55D1E"/>
    <w:rsid w:val="00E62A8E"/>
    <w:rsid w:val="00E673B3"/>
    <w:rsid w:val="00E67471"/>
    <w:rsid w:val="00E730BA"/>
    <w:rsid w:val="00E75FF9"/>
    <w:rsid w:val="00E8113F"/>
    <w:rsid w:val="00E86B58"/>
    <w:rsid w:val="00E87FD6"/>
    <w:rsid w:val="00E96256"/>
    <w:rsid w:val="00EA3E46"/>
    <w:rsid w:val="00EA7B56"/>
    <w:rsid w:val="00EB0F40"/>
    <w:rsid w:val="00EB1001"/>
    <w:rsid w:val="00EB4E5F"/>
    <w:rsid w:val="00EB6CFC"/>
    <w:rsid w:val="00EC77A0"/>
    <w:rsid w:val="00EE1F08"/>
    <w:rsid w:val="00EE29DC"/>
    <w:rsid w:val="00EE3198"/>
    <w:rsid w:val="00EE4D51"/>
    <w:rsid w:val="00EE70D6"/>
    <w:rsid w:val="00EF0E7E"/>
    <w:rsid w:val="00EF576D"/>
    <w:rsid w:val="00EF57C9"/>
    <w:rsid w:val="00F00BFF"/>
    <w:rsid w:val="00F017C8"/>
    <w:rsid w:val="00F02CF5"/>
    <w:rsid w:val="00F03209"/>
    <w:rsid w:val="00F0569A"/>
    <w:rsid w:val="00F06A89"/>
    <w:rsid w:val="00F06CD6"/>
    <w:rsid w:val="00F11603"/>
    <w:rsid w:val="00F119B3"/>
    <w:rsid w:val="00F15BDB"/>
    <w:rsid w:val="00F23F71"/>
    <w:rsid w:val="00F2498B"/>
    <w:rsid w:val="00F27DE5"/>
    <w:rsid w:val="00F35A58"/>
    <w:rsid w:val="00F376F2"/>
    <w:rsid w:val="00F37BD9"/>
    <w:rsid w:val="00F37C75"/>
    <w:rsid w:val="00F41CAD"/>
    <w:rsid w:val="00F437EA"/>
    <w:rsid w:val="00F52357"/>
    <w:rsid w:val="00F55239"/>
    <w:rsid w:val="00F56AEB"/>
    <w:rsid w:val="00F56B33"/>
    <w:rsid w:val="00F572B4"/>
    <w:rsid w:val="00F6131B"/>
    <w:rsid w:val="00F62D40"/>
    <w:rsid w:val="00F65F71"/>
    <w:rsid w:val="00F7376B"/>
    <w:rsid w:val="00F75A55"/>
    <w:rsid w:val="00F769C9"/>
    <w:rsid w:val="00F77E5C"/>
    <w:rsid w:val="00F862F2"/>
    <w:rsid w:val="00F90279"/>
    <w:rsid w:val="00F910F0"/>
    <w:rsid w:val="00F91AD1"/>
    <w:rsid w:val="00FA19E0"/>
    <w:rsid w:val="00FA25E1"/>
    <w:rsid w:val="00FA440F"/>
    <w:rsid w:val="00FC144A"/>
    <w:rsid w:val="00FC1D89"/>
    <w:rsid w:val="00FC4A3C"/>
    <w:rsid w:val="00FC6BB4"/>
    <w:rsid w:val="00FE008A"/>
    <w:rsid w:val="00FE259C"/>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12DD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12DD9"/>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2915</TotalTime>
  <Pages>3</Pages>
  <Words>1426</Words>
  <Characters>8132</Characters>
  <Application>Microsoft Office Word</Application>
  <DocSecurity>0</DocSecurity>
  <Lines>67</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458</cp:revision>
  <dcterms:created xsi:type="dcterms:W3CDTF">2021-01-15T02:11:00Z</dcterms:created>
  <dcterms:modified xsi:type="dcterms:W3CDTF">2022-09-29T09:20:00Z</dcterms:modified>
</cp:coreProperties>
</file>